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9DF8" w14:textId="77777777" w:rsidR="00AE0CE3" w:rsidRPr="00AE0CE3" w:rsidRDefault="00AE0CE3" w:rsidP="00AE0C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CE3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103AF15D" w14:textId="77777777" w:rsidR="00AE0CE3" w:rsidRPr="00AE0CE3" w:rsidRDefault="00AE0CE3" w:rsidP="00AE0C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Науково-методичної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14:paraId="68B8E9A6" w14:textId="04AFD112" w:rsidR="00AE0CE3" w:rsidRPr="00AE0CE3" w:rsidRDefault="00AE0CE3" w:rsidP="00AE0C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Одеського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національного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університету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імені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І.</w:t>
      </w:r>
      <w:r w:rsidR="00385D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>І. Мечникова</w:t>
      </w:r>
    </w:p>
    <w:p w14:paraId="18E86F08" w14:textId="65BEE865" w:rsidR="00AE0CE3" w:rsidRPr="00AE0CE3" w:rsidRDefault="00AE0CE3" w:rsidP="00AE0C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260">
        <w:rPr>
          <w:rFonts w:ascii="Times New Roman" w:hAnsi="Times New Roman" w:cs="Times New Roman"/>
          <w:b/>
          <w:bCs/>
          <w:sz w:val="28"/>
          <w:szCs w:val="28"/>
          <w:lang w:val="uk-UA"/>
        </w:rPr>
        <w:t>05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260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AE0CE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року (протокол </w:t>
      </w:r>
      <w:r w:rsidRPr="00AE0CE3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260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7F844B3" w14:textId="77777777" w:rsidR="00AE0CE3" w:rsidRPr="00AE0CE3" w:rsidRDefault="00AE0CE3" w:rsidP="00AE0C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384F3" w14:textId="77777777" w:rsidR="00385D32" w:rsidRDefault="00385D32" w:rsidP="00385D32">
      <w:pPr>
        <w:pStyle w:val="1"/>
        <w:spacing w:before="177"/>
      </w:pPr>
      <w:r>
        <w:t>УХВАЛИЛИ:</w:t>
      </w:r>
    </w:p>
    <w:p w14:paraId="77006931" w14:textId="77777777" w:rsidR="00385D32" w:rsidRPr="00385D32" w:rsidRDefault="00385D32" w:rsidP="00385D32">
      <w:pPr>
        <w:spacing w:before="201"/>
        <w:ind w:left="119"/>
        <w:rPr>
          <w:rFonts w:ascii="Times New Roman" w:hAnsi="Times New Roman" w:cs="Times New Roman"/>
          <w:b/>
          <w:sz w:val="28"/>
        </w:rPr>
      </w:pPr>
      <w:r w:rsidRPr="00385D32">
        <w:rPr>
          <w:rFonts w:ascii="Times New Roman" w:hAnsi="Times New Roman" w:cs="Times New Roman"/>
          <w:b/>
          <w:sz w:val="28"/>
        </w:rPr>
        <w:t>По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385D32">
        <w:rPr>
          <w:rFonts w:ascii="Times New Roman" w:hAnsi="Times New Roman" w:cs="Times New Roman"/>
          <w:b/>
          <w:sz w:val="28"/>
        </w:rPr>
        <w:t>першому</w:t>
      </w:r>
      <w:proofErr w:type="spellEnd"/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385D32">
        <w:rPr>
          <w:rFonts w:ascii="Times New Roman" w:hAnsi="Times New Roman" w:cs="Times New Roman"/>
          <w:b/>
          <w:sz w:val="28"/>
        </w:rPr>
        <w:t>питанню</w:t>
      </w:r>
      <w:proofErr w:type="spellEnd"/>
      <w:r w:rsidRPr="00385D3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порядку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денного:</w:t>
      </w:r>
    </w:p>
    <w:p w14:paraId="26682290" w14:textId="237B2701" w:rsidR="00385D32" w:rsidRPr="00AE0CE3" w:rsidRDefault="00385D32" w:rsidP="00723355">
      <w:pPr>
        <w:spacing w:before="100" w:beforeAutospacing="1" w:line="240" w:lineRule="auto"/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="008F6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CE3">
        <w:rPr>
          <w:rFonts w:ascii="Times New Roman" w:hAnsi="Times New Roman" w:cs="Times New Roman"/>
          <w:sz w:val="28"/>
          <w:szCs w:val="28"/>
        </w:rPr>
        <w:t xml:space="preserve">ради ОНУ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І.</w:t>
      </w:r>
      <w:r w:rsidR="00214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CE3">
        <w:rPr>
          <w:rFonts w:ascii="Times New Roman" w:hAnsi="Times New Roman" w:cs="Times New Roman"/>
          <w:sz w:val="28"/>
          <w:szCs w:val="28"/>
        </w:rPr>
        <w:t xml:space="preserve">І. Мечникова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>:</w:t>
      </w:r>
    </w:p>
    <w:p w14:paraId="1132C387" w14:textId="77777777" w:rsidR="002C7D8C" w:rsidRDefault="009E0260" w:rsidP="002149BA">
      <w:pPr>
        <w:pStyle w:val="30"/>
        <w:spacing w:before="240" w:after="120" w:line="276" w:lineRule="auto"/>
        <w:ind w:left="567" w:right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8F6815"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.1 </w:t>
      </w:r>
      <w:r w:rsidR="002C7D8C" w:rsidRPr="000623AE">
        <w:rPr>
          <w:rFonts w:ascii="Times New Roman" w:hAnsi="Times New Roman" w:cs="Times New Roman"/>
          <w:b w:val="0"/>
          <w:sz w:val="28"/>
          <w:szCs w:val="28"/>
          <w:lang w:val="uk-UA"/>
        </w:rPr>
        <w:t>Положення про гаранта та робочу групу</w:t>
      </w:r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освітньої програми</w:t>
      </w:r>
      <w:r w:rsidR="002C7D8C" w:rsidRPr="000623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 Одеському національному університеті імені І. І. Мечникова</w:t>
      </w:r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14:paraId="26FA4121" w14:textId="5F18F714" w:rsidR="002C7D8C" w:rsidRDefault="009E0260" w:rsidP="002149BA">
      <w:pPr>
        <w:pStyle w:val="30"/>
        <w:spacing w:before="100" w:beforeAutospacing="1" w:after="120" w:line="240" w:lineRule="auto"/>
        <w:ind w:left="567" w:right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8F6815"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 </w:t>
      </w:r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Положення про освітні програми підготовки здобувачів вищої та фахової </w:t>
      </w:r>
      <w:proofErr w:type="spellStart"/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>передвищої</w:t>
      </w:r>
      <w:proofErr w:type="spellEnd"/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освіти в Одеському національному університет</w:t>
      </w:r>
      <w:r w:rsidR="00220B42">
        <w:rPr>
          <w:rFonts w:ascii="Times New Roman" w:hAnsi="Times New Roman" w:cs="Times New Roman"/>
          <w:b w:val="0"/>
          <w:sz w:val="28"/>
          <w:szCs w:val="28"/>
          <w:lang w:val="uk-UA"/>
        </w:rPr>
        <w:t>і</w:t>
      </w:r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імені І. І. Мечникова</w:t>
      </w:r>
    </w:p>
    <w:p w14:paraId="1AD2B7C8" w14:textId="69A47F29" w:rsidR="00323738" w:rsidRDefault="009E0260" w:rsidP="002720D3">
      <w:pPr>
        <w:pStyle w:val="30"/>
        <w:spacing w:before="240" w:after="120" w:line="276" w:lineRule="auto"/>
        <w:ind w:left="567" w:right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="008F6815"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.3 </w:t>
      </w:r>
      <w:r w:rsidR="002C7D8C"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Зміни до </w:t>
      </w:r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="002C7D8C"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Положення про </w:t>
      </w:r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підготовку здобувачів вищої освіти ступеня доктора філософії </w:t>
      </w:r>
      <w:r w:rsidR="002C7D8C"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>в</w:t>
      </w:r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2C7D8C"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>Одеському національному університеті імені І. І. Мечникова</w:t>
      </w:r>
      <w:r w:rsidR="002C7D8C">
        <w:rPr>
          <w:rFonts w:ascii="Times New Roman" w:hAnsi="Times New Roman" w:cs="Times New Roman"/>
          <w:b w:val="0"/>
          <w:sz w:val="28"/>
          <w:szCs w:val="28"/>
          <w:lang w:val="uk-UA"/>
        </w:rPr>
        <w:t>».</w:t>
      </w:r>
    </w:p>
    <w:p w14:paraId="5CA0960E" w14:textId="32F72A06" w:rsidR="00323738" w:rsidRPr="00D94704" w:rsidRDefault="00323738" w:rsidP="002720D3">
      <w:pPr>
        <w:spacing w:after="120" w:line="240" w:lineRule="auto"/>
        <w:ind w:left="28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2373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Відповідальні </w:t>
      </w:r>
      <w:r w:rsidRPr="003237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94704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94704" w:rsidRPr="00D9470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D947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94704" w:rsidRPr="00D947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В. </w:t>
      </w:r>
      <w:proofErr w:type="spellStart"/>
      <w:r w:rsidR="00D94704" w:rsidRPr="00D94704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Сминтина</w:t>
      </w:r>
      <w:proofErr w:type="spellEnd"/>
      <w:r w:rsidR="00D94704" w:rsidRPr="00D94704">
        <w:rPr>
          <w:rFonts w:ascii="Times New Roman" w:hAnsi="Times New Roman" w:cs="Times New Roman"/>
          <w:i/>
          <w:iCs/>
          <w:sz w:val="28"/>
          <w:szCs w:val="28"/>
          <w:lang w:val="uk-UA"/>
        </w:rPr>
        <w:t>, О. М. Ружицька</w:t>
      </w:r>
    </w:p>
    <w:p w14:paraId="17A9872E" w14:textId="15588281" w:rsidR="00323738" w:rsidRPr="00D94704" w:rsidRDefault="00323738" w:rsidP="00323738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D94704">
        <w:rPr>
          <w:rFonts w:ascii="Times New Roman" w:hAnsi="Times New Roman" w:cs="Times New Roman"/>
          <w:i/>
          <w:iCs/>
          <w:sz w:val="28"/>
          <w:szCs w:val="28"/>
        </w:rPr>
        <w:t>Термін</w:t>
      </w:r>
      <w:proofErr w:type="spellEnd"/>
      <w:r w:rsidRPr="00D947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94704">
        <w:rPr>
          <w:rFonts w:ascii="Times New Roman" w:hAnsi="Times New Roman" w:cs="Times New Roman"/>
          <w:i/>
          <w:iCs/>
          <w:sz w:val="28"/>
          <w:szCs w:val="28"/>
        </w:rPr>
        <w:t>виконання</w:t>
      </w:r>
      <w:proofErr w:type="spellEnd"/>
      <w:r w:rsidRPr="00D9470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1960F4">
        <w:rPr>
          <w:rFonts w:ascii="Times New Roman" w:hAnsi="Times New Roman" w:cs="Times New Roman"/>
          <w:i/>
          <w:iCs/>
          <w:sz w:val="28"/>
          <w:szCs w:val="28"/>
        </w:rPr>
        <w:t xml:space="preserve">до </w:t>
      </w:r>
      <w:r w:rsidR="009E0260" w:rsidRPr="001960F4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1960F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960F4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="009E0260" w:rsidRPr="001960F4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1960F4">
        <w:rPr>
          <w:rFonts w:ascii="Times New Roman" w:hAnsi="Times New Roman" w:cs="Times New Roman"/>
          <w:i/>
          <w:iCs/>
          <w:sz w:val="28"/>
          <w:szCs w:val="28"/>
        </w:rPr>
        <w:t>.202</w:t>
      </w:r>
      <w:r w:rsidRPr="001960F4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1960F4">
        <w:rPr>
          <w:rFonts w:ascii="Times New Roman" w:hAnsi="Times New Roman" w:cs="Times New Roman"/>
          <w:i/>
          <w:iCs/>
          <w:sz w:val="28"/>
          <w:szCs w:val="28"/>
        </w:rPr>
        <w:t xml:space="preserve"> р.</w:t>
      </w:r>
    </w:p>
    <w:p w14:paraId="2EACA8EF" w14:textId="7B88DED2" w:rsidR="00385D32" w:rsidRDefault="00385D32" w:rsidP="00385D32">
      <w:pPr>
        <w:pStyle w:val="a3"/>
        <w:spacing w:before="202" w:line="276" w:lineRule="auto"/>
        <w:ind w:left="545" w:right="587"/>
        <w:jc w:val="both"/>
      </w:pPr>
    </w:p>
    <w:p w14:paraId="0DF5D978" w14:textId="3ADF8989" w:rsidR="000857BB" w:rsidRDefault="000857BB" w:rsidP="00267332">
      <w:pPr>
        <w:spacing w:before="100" w:beforeAutospacing="1"/>
        <w:ind w:left="119"/>
        <w:rPr>
          <w:rFonts w:ascii="Times New Roman" w:hAnsi="Times New Roman" w:cs="Times New Roman"/>
          <w:b/>
          <w:sz w:val="28"/>
          <w:lang w:val="uk-UA"/>
        </w:rPr>
      </w:pPr>
      <w:r w:rsidRPr="00385D32">
        <w:rPr>
          <w:rFonts w:ascii="Times New Roman" w:hAnsi="Times New Roman" w:cs="Times New Roman"/>
          <w:b/>
          <w:sz w:val="28"/>
        </w:rPr>
        <w:t>По</w:t>
      </w:r>
      <w:r w:rsidR="00C203AA">
        <w:rPr>
          <w:rFonts w:ascii="Times New Roman" w:hAnsi="Times New Roman" w:cs="Times New Roman"/>
          <w:b/>
          <w:spacing w:val="-5"/>
          <w:sz w:val="28"/>
          <w:lang w:val="uk-UA"/>
        </w:rPr>
        <w:t xml:space="preserve"> </w:t>
      </w:r>
      <w:r w:rsidR="00A528A4">
        <w:rPr>
          <w:rFonts w:ascii="Times New Roman" w:hAnsi="Times New Roman" w:cs="Times New Roman"/>
          <w:b/>
          <w:sz w:val="28"/>
          <w:lang w:val="uk-UA"/>
        </w:rPr>
        <w:t>другому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385D32">
        <w:rPr>
          <w:rFonts w:ascii="Times New Roman" w:hAnsi="Times New Roman" w:cs="Times New Roman"/>
          <w:b/>
          <w:sz w:val="28"/>
        </w:rPr>
        <w:t>питанню</w:t>
      </w:r>
      <w:proofErr w:type="spellEnd"/>
      <w:r w:rsidRPr="00385D3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порядку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денного:</w:t>
      </w:r>
    </w:p>
    <w:p w14:paraId="23E4E0F4" w14:textId="51EBA5B7" w:rsidR="0085110D" w:rsidRPr="00EF7A49" w:rsidRDefault="00A528A4" w:rsidP="001960F4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2</w:t>
      </w:r>
      <w:r w:rsidR="00267332" w:rsidRPr="009B5B47">
        <w:rPr>
          <w:rFonts w:ascii="Times New Roman" w:hAnsi="Times New Roman" w:cs="Times New Roman"/>
          <w:bCs/>
          <w:sz w:val="28"/>
          <w:lang w:val="uk-UA"/>
        </w:rPr>
        <w:t xml:space="preserve">.1. </w:t>
      </w:r>
      <w:bookmarkStart w:id="0" w:name="_Hlk180346798"/>
      <w:r w:rsidR="00267332"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Підтримати клопотання Вченої ради факультету математики, фізики та</w:t>
      </w:r>
      <w:r w:rsidR="009B5B47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7332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ІТ щодо рекомендації до друку </w:t>
      </w:r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навчально-методичного посібника «Векторна логічна алгебра» </w:t>
      </w:r>
      <w:r w:rsidR="0085110D" w:rsidRPr="00EF7A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для здобувачів другого (магістерського) рівня вищої освіти спеціальності 111 Математика</w:t>
      </w:r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який забезпечує вибіркову дисципліну «Алгебра скінчених предикатів» ОПП «Математика» (обсяг – 7 </w:t>
      </w:r>
      <w:proofErr w:type="spellStart"/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авт</w:t>
      </w:r>
      <w:proofErr w:type="spellEnd"/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арк</w:t>
      </w:r>
      <w:proofErr w:type="spellEnd"/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мова видання – українська). Електронне видання мережевого використовування. </w:t>
      </w:r>
      <w:r w:rsidR="0085110D" w:rsidRPr="00EF7A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Автор: </w:t>
      </w:r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к.ф.-</w:t>
      </w:r>
      <w:proofErr w:type="spellStart"/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м.н</w:t>
      </w:r>
      <w:proofErr w:type="spellEnd"/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доцент </w:t>
      </w:r>
      <w:proofErr w:type="spellStart"/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>Якімова</w:t>
      </w:r>
      <w:proofErr w:type="spellEnd"/>
      <w:r w:rsidR="0085110D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Анатоліївна.</w:t>
      </w:r>
    </w:p>
    <w:p w14:paraId="343F7B33" w14:textId="51E73C26" w:rsidR="0085110D" w:rsidRPr="00EF7A49" w:rsidRDefault="0085110D" w:rsidP="001960F4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2.2 </w:t>
      </w:r>
      <w:r w:rsidR="00267332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Підтримати клопотання Вченої ради факультету </w:t>
      </w:r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міжнародних відносин, політології та соціології </w:t>
      </w:r>
      <w:r w:rsidR="00267332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друку </w:t>
      </w:r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навчально-методичного посібника «Політична етика та політична естетика» для здобувачів першого (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баклаврського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рівня вищої освіти спеціальності 052 Політологія, який забезпечує обов’язкову компоненту «Політична етика та політична естетика» ОП «Політологія» першого (бакалаврського) рівня, (обсяг – 5,2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авт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арк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мова </w:t>
      </w:r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видання – українська). Електронне видання мережевого використовування. </w:t>
      </w:r>
      <w:r w:rsidRPr="00EF7A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Автор: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к.політ.н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доц.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Хорошилов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 Юрійович.</w:t>
      </w:r>
    </w:p>
    <w:p w14:paraId="1465B980" w14:textId="762D376D" w:rsidR="0085110D" w:rsidRPr="00EF7A49" w:rsidRDefault="0085110D" w:rsidP="001960F4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949E7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.3. Підтримати клопотання Вченої ради </w:t>
      </w:r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біологічного факультету </w:t>
      </w:r>
      <w:r w:rsidR="009949E7"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рекомендації до друку </w:t>
      </w:r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ілюстрованого словника-довідника архітектурно-мистецьких і садово-паркових термінів. Том 1. «Теорія та історія архітектури. Вид.2-е,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доп.і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перер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для здобувачів першого (бакалаврського) рівня вищої освіти спеціальності 206 Садово-паркове господарство, який забезпечує обов’язкову компоненту «Історія садово-паркового мистецтва», (обсяг – 14,18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авт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арк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., мова видання – українська). Друковане видання.</w:t>
      </w:r>
      <w:r w:rsidRPr="00EF7A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Укладачі: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к.арх.н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доц.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Кадуріна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Антоніна Олегівна;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к.арх.н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доц. Моргун Олена Леонідівна</w:t>
      </w:r>
    </w:p>
    <w:p w14:paraId="75C73915" w14:textId="76E5D189" w:rsidR="002720D3" w:rsidRPr="00EF7A49" w:rsidRDefault="002720D3" w:rsidP="0089673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2.4 Підтримати клопотання Вченої ради факультету історії та філософії, щодо друку навчально-методичного посібника «Єврейське населення в Україні: суспільні та індивідуальні практики модерної та новітньої епох» для здобувачів другого (магістерського) рівня вищої освіти спеціальності 032 Історія та археологія, який забезпечує вибіркову дисципліну ОП «Історія та археологія», (обсяг – 5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авт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арк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мова видання – українська). Електронне видання мережевого використовування. Автор: </w:t>
      </w:r>
      <w:proofErr w:type="spellStart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к.і.н</w:t>
      </w:r>
      <w:proofErr w:type="spellEnd"/>
      <w:r w:rsidRPr="00EF7A49">
        <w:rPr>
          <w:rFonts w:ascii="Times New Roman" w:hAnsi="Times New Roman" w:cs="Times New Roman"/>
          <w:bCs/>
          <w:sz w:val="28"/>
          <w:szCs w:val="28"/>
          <w:lang w:val="uk-UA"/>
        </w:rPr>
        <w:t>., доц. Новікова Людмила Володимирівна</w:t>
      </w:r>
      <w:r w:rsidRPr="00EF7A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E6386A" w14:textId="52754F14" w:rsidR="00723355" w:rsidRPr="002720D3" w:rsidRDefault="00723355" w:rsidP="0089673C">
      <w:pPr>
        <w:spacing w:after="120" w:line="240" w:lineRule="auto"/>
        <w:ind w:left="28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2373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Відповідальні </w:t>
      </w:r>
      <w:r w:rsidRPr="0032373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720D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Л. В. </w:t>
      </w:r>
      <w:proofErr w:type="spellStart"/>
      <w:r w:rsidRPr="002720D3">
        <w:rPr>
          <w:rFonts w:ascii="Times New Roman" w:hAnsi="Times New Roman" w:cs="Times New Roman"/>
          <w:i/>
          <w:iCs/>
          <w:sz w:val="28"/>
          <w:szCs w:val="28"/>
          <w:lang w:val="uk-UA"/>
        </w:rPr>
        <w:t>Нікола</w:t>
      </w:r>
      <w:proofErr w:type="spellEnd"/>
    </w:p>
    <w:p w14:paraId="040F35B2" w14:textId="044C82DE" w:rsidR="00723355" w:rsidRPr="00D51AA8" w:rsidRDefault="00723355" w:rsidP="00723355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323738">
        <w:rPr>
          <w:rFonts w:ascii="Times New Roman" w:hAnsi="Times New Roman" w:cs="Times New Roman"/>
          <w:i/>
          <w:iCs/>
          <w:sz w:val="28"/>
          <w:szCs w:val="28"/>
        </w:rPr>
        <w:t>Термін</w:t>
      </w:r>
      <w:proofErr w:type="spellEnd"/>
      <w:r w:rsidRPr="003237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3738">
        <w:rPr>
          <w:rFonts w:ascii="Times New Roman" w:hAnsi="Times New Roman" w:cs="Times New Roman"/>
          <w:i/>
          <w:iCs/>
          <w:sz w:val="28"/>
          <w:szCs w:val="28"/>
        </w:rPr>
        <w:t>виконання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– </w:t>
      </w:r>
      <w:r w:rsidRPr="001960F4">
        <w:rPr>
          <w:rFonts w:ascii="Times New Roman" w:hAnsi="Times New Roman" w:cs="Times New Roman"/>
          <w:i/>
          <w:iCs/>
          <w:sz w:val="28"/>
          <w:szCs w:val="28"/>
        </w:rPr>
        <w:t xml:space="preserve">до </w:t>
      </w:r>
      <w:r w:rsidR="00A528A4" w:rsidRPr="001960F4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 w:rsidRPr="001960F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528A4" w:rsidRPr="001960F4">
        <w:rPr>
          <w:rFonts w:ascii="Times New Roman" w:hAnsi="Times New Roman" w:cs="Times New Roman"/>
          <w:i/>
          <w:iCs/>
          <w:sz w:val="28"/>
          <w:szCs w:val="28"/>
          <w:lang w:val="uk-UA"/>
        </w:rPr>
        <w:t>12</w:t>
      </w:r>
      <w:r w:rsidRPr="001960F4">
        <w:rPr>
          <w:rFonts w:ascii="Times New Roman" w:hAnsi="Times New Roman" w:cs="Times New Roman"/>
          <w:i/>
          <w:iCs/>
          <w:sz w:val="28"/>
          <w:szCs w:val="28"/>
        </w:rPr>
        <w:t>.202</w:t>
      </w:r>
      <w:r w:rsidRPr="001960F4">
        <w:rPr>
          <w:rFonts w:ascii="Times New Roman" w:hAnsi="Times New Roman" w:cs="Times New Roman"/>
          <w:i/>
          <w:iCs/>
          <w:sz w:val="28"/>
          <w:szCs w:val="28"/>
          <w:lang w:val="uk-UA"/>
        </w:rPr>
        <w:t>4</w:t>
      </w:r>
      <w:r w:rsidRPr="001960F4">
        <w:rPr>
          <w:rFonts w:ascii="Times New Roman" w:hAnsi="Times New Roman" w:cs="Times New Roman"/>
          <w:i/>
          <w:iCs/>
          <w:sz w:val="28"/>
          <w:szCs w:val="28"/>
        </w:rPr>
        <w:t xml:space="preserve"> р.</w:t>
      </w:r>
    </w:p>
    <w:bookmarkEnd w:id="0"/>
    <w:p w14:paraId="13806D84" w14:textId="77777777" w:rsidR="00385D32" w:rsidRPr="00D51AA8" w:rsidRDefault="00385D32" w:rsidP="00AE0CE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0037D7" w14:textId="6655CCB1" w:rsidR="006632A3" w:rsidRDefault="006632A3" w:rsidP="006632A3">
      <w:pPr>
        <w:spacing w:before="100" w:beforeAutospacing="1"/>
        <w:ind w:left="119"/>
        <w:rPr>
          <w:rFonts w:ascii="Times New Roman" w:hAnsi="Times New Roman" w:cs="Times New Roman"/>
          <w:b/>
          <w:sz w:val="28"/>
          <w:lang w:val="uk-UA"/>
        </w:rPr>
      </w:pPr>
      <w:r w:rsidRPr="00385D32">
        <w:rPr>
          <w:rFonts w:ascii="Times New Roman" w:hAnsi="Times New Roman" w:cs="Times New Roman"/>
          <w:b/>
          <w:sz w:val="28"/>
        </w:rPr>
        <w:t>По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="00A528A4">
        <w:rPr>
          <w:rFonts w:ascii="Times New Roman" w:hAnsi="Times New Roman" w:cs="Times New Roman"/>
          <w:b/>
          <w:sz w:val="28"/>
          <w:lang w:val="uk-UA"/>
        </w:rPr>
        <w:t>третьому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385D32">
        <w:rPr>
          <w:rFonts w:ascii="Times New Roman" w:hAnsi="Times New Roman" w:cs="Times New Roman"/>
          <w:b/>
          <w:sz w:val="28"/>
        </w:rPr>
        <w:t>питанню</w:t>
      </w:r>
      <w:proofErr w:type="spellEnd"/>
      <w:r w:rsidRPr="00385D3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порядку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денного:</w:t>
      </w:r>
    </w:p>
    <w:p w14:paraId="2F4BF6D5" w14:textId="77777777" w:rsidR="001B5A21" w:rsidRDefault="001B5A21" w:rsidP="00E47CA5">
      <w:pPr>
        <w:spacing w:before="100" w:beforeAutospacing="1" w:after="0" w:line="276" w:lineRule="auto"/>
        <w:ind w:left="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A2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</w:t>
      </w:r>
      <w:r w:rsidRPr="001B5A21">
        <w:rPr>
          <w:rFonts w:ascii="Times New Roman" w:hAnsi="Times New Roman" w:cs="Times New Roman"/>
          <w:sz w:val="28"/>
          <w:szCs w:val="28"/>
          <w:lang w:val="uk-UA"/>
        </w:rPr>
        <w:t>: Схвалити звіт про підсумки роботи НМР ОНУ імені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A21">
        <w:rPr>
          <w:rFonts w:ascii="Times New Roman" w:hAnsi="Times New Roman" w:cs="Times New Roman"/>
          <w:sz w:val="28"/>
          <w:szCs w:val="28"/>
          <w:lang w:val="uk-UA"/>
        </w:rPr>
        <w:t>І. Мечникова за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B5A21">
        <w:rPr>
          <w:rFonts w:ascii="Times New Roman" w:hAnsi="Times New Roman" w:cs="Times New Roman"/>
          <w:sz w:val="28"/>
          <w:szCs w:val="28"/>
          <w:lang w:val="uk-UA"/>
        </w:rPr>
        <w:t xml:space="preserve"> рік і вважати роботу задовільною.</w:t>
      </w:r>
    </w:p>
    <w:p w14:paraId="5DF62E40" w14:textId="6D153D69" w:rsidR="001B5A21" w:rsidRPr="001B5A21" w:rsidRDefault="001B5A21" w:rsidP="00E47CA5">
      <w:pPr>
        <w:spacing w:before="100" w:beforeAutospacing="1" w:after="0" w:line="240" w:lineRule="auto"/>
        <w:ind w:left="11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B5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A21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Відповідальні – М.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B5A21">
        <w:rPr>
          <w:rFonts w:ascii="Times New Roman" w:hAnsi="Times New Roman" w:cs="Times New Roman"/>
          <w:i/>
          <w:iCs/>
          <w:sz w:val="28"/>
          <w:szCs w:val="28"/>
          <w:lang w:val="uk-UA"/>
        </w:rPr>
        <w:t>І. Ніколаєва</w:t>
      </w:r>
    </w:p>
    <w:p w14:paraId="5228B9AE" w14:textId="2CAC1B12" w:rsidR="001B5A21" w:rsidRPr="001B5A21" w:rsidRDefault="001B5A21" w:rsidP="001B5A21">
      <w:pPr>
        <w:spacing w:after="0" w:line="240" w:lineRule="auto"/>
        <w:ind w:left="119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1B5A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038C3883" w14:textId="325A26AF" w:rsidR="001B5A21" w:rsidRPr="001B5A21" w:rsidRDefault="00EC5023" w:rsidP="00EC5023">
      <w:pPr>
        <w:spacing w:before="100" w:beforeAutospacing="1"/>
        <w:ind w:left="119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По четвертому питанню порядку денного:</w:t>
      </w:r>
    </w:p>
    <w:p w14:paraId="55844DE8" w14:textId="77777777" w:rsidR="006632A3" w:rsidRPr="006632A3" w:rsidRDefault="006632A3" w:rsidP="0079725B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10D">
        <w:rPr>
          <w:rFonts w:ascii="Times New Roman" w:hAnsi="Times New Roman" w:cs="Times New Roman"/>
          <w:sz w:val="28"/>
          <w:szCs w:val="28"/>
          <w:lang w:val="uk-UA"/>
        </w:rPr>
        <w:t xml:space="preserve">Прийняти інформацію до відома. </w:t>
      </w:r>
    </w:p>
    <w:p w14:paraId="311B5E90" w14:textId="5076F896" w:rsidR="006632A3" w:rsidRDefault="006632A3" w:rsidP="00E47CA5">
      <w:pPr>
        <w:spacing w:before="100" w:beforeAutospacing="1" w:after="0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2A3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Відповідальні</w:t>
      </w:r>
      <w:r w:rsidRPr="006632A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D7383" w:rsidRPr="00EC5023">
        <w:rPr>
          <w:rFonts w:ascii="Times New Roman" w:hAnsi="Times New Roman" w:cs="Times New Roman"/>
          <w:i/>
          <w:iCs/>
          <w:sz w:val="28"/>
          <w:szCs w:val="28"/>
          <w:lang w:val="uk-UA"/>
        </w:rPr>
        <w:t>М. І. Ніколаєва</w:t>
      </w:r>
      <w:r w:rsidRPr="00663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262D54" w14:textId="77777777" w:rsidR="00385D32" w:rsidRDefault="00385D32" w:rsidP="0079725B">
      <w:pPr>
        <w:ind w:left="28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AA31CE" w14:textId="77777777" w:rsidR="00AE0CE3" w:rsidRPr="006632A3" w:rsidRDefault="00AE0CE3" w:rsidP="00AE0C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57C16" w14:textId="4D40F4C4" w:rsidR="00AE0CE3" w:rsidRPr="00AE0CE3" w:rsidRDefault="00AE0CE3" w:rsidP="00AE0CE3">
      <w:pPr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Голова НМР</w:t>
      </w:r>
      <w:r w:rsidR="00462A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AE0CE3">
        <w:rPr>
          <w:rFonts w:ascii="Times New Roman" w:hAnsi="Times New Roman" w:cs="Times New Roman"/>
          <w:sz w:val="28"/>
          <w:szCs w:val="28"/>
        </w:rPr>
        <w:t xml:space="preserve"> Майя НІКОЛАЄВА</w:t>
      </w:r>
    </w:p>
    <w:p w14:paraId="25B62013" w14:textId="77777777" w:rsidR="00AE0CE3" w:rsidRPr="00AE0CE3" w:rsidRDefault="00AE0CE3" w:rsidP="00AE0C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147E5" w14:textId="096CF61B" w:rsidR="00007242" w:rsidRPr="00462A60" w:rsidRDefault="00AE0CE3" w:rsidP="00AE0CE3">
      <w:pPr>
        <w:jc w:val="both"/>
        <w:rPr>
          <w:lang w:val="uk-UA"/>
        </w:rPr>
      </w:pP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НМР </w:t>
      </w:r>
      <w:r w:rsidR="00462A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Надія ВАСИЛЕВСЬКА</w:t>
      </w:r>
    </w:p>
    <w:sectPr w:rsidR="00007242" w:rsidRPr="0046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94254"/>
    <w:multiLevelType w:val="multilevel"/>
    <w:tmpl w:val="86B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1640B"/>
    <w:multiLevelType w:val="hybridMultilevel"/>
    <w:tmpl w:val="1BF86A60"/>
    <w:lvl w:ilvl="0" w:tplc="6D12D72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F55408"/>
    <w:multiLevelType w:val="multilevel"/>
    <w:tmpl w:val="8F4CF75A"/>
    <w:lvl w:ilvl="0">
      <w:start w:val="1"/>
      <w:numFmt w:val="decimal"/>
      <w:lvlText w:val="%1"/>
      <w:lvlJc w:val="left"/>
      <w:pPr>
        <w:ind w:left="545" w:hanging="50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5" w:hanging="503"/>
        <w:jc w:val="right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2444" w:hanging="5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5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9" w:hanging="5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2" w:hanging="5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4" w:hanging="5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6" w:hanging="5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9" w:hanging="503"/>
      </w:pPr>
      <w:rPr>
        <w:rFonts w:hint="default"/>
        <w:lang w:val="uk-UA" w:eastAsia="en-US" w:bidi="ar-SA"/>
      </w:rPr>
    </w:lvl>
  </w:abstractNum>
  <w:abstractNum w:abstractNumId="3" w15:restartNumberingAfterBreak="0">
    <w:nsid w:val="6132191C"/>
    <w:multiLevelType w:val="multilevel"/>
    <w:tmpl w:val="D7D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667352">
    <w:abstractNumId w:val="2"/>
  </w:num>
  <w:num w:numId="2" w16cid:durableId="1619213905">
    <w:abstractNumId w:val="3"/>
  </w:num>
  <w:num w:numId="3" w16cid:durableId="1406953834">
    <w:abstractNumId w:val="0"/>
  </w:num>
  <w:num w:numId="4" w16cid:durableId="13495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42"/>
    <w:rsid w:val="00007242"/>
    <w:rsid w:val="000857BB"/>
    <w:rsid w:val="00104245"/>
    <w:rsid w:val="00117465"/>
    <w:rsid w:val="001960F4"/>
    <w:rsid w:val="001B5A21"/>
    <w:rsid w:val="002149BA"/>
    <w:rsid w:val="00220B42"/>
    <w:rsid w:val="00267332"/>
    <w:rsid w:val="002720D3"/>
    <w:rsid w:val="002C7D8C"/>
    <w:rsid w:val="002F0B47"/>
    <w:rsid w:val="002F545A"/>
    <w:rsid w:val="00323738"/>
    <w:rsid w:val="00385D32"/>
    <w:rsid w:val="00462A60"/>
    <w:rsid w:val="005875AC"/>
    <w:rsid w:val="005D7383"/>
    <w:rsid w:val="006632A3"/>
    <w:rsid w:val="00723355"/>
    <w:rsid w:val="00746B52"/>
    <w:rsid w:val="0079725B"/>
    <w:rsid w:val="00807B34"/>
    <w:rsid w:val="0085110D"/>
    <w:rsid w:val="00852A8C"/>
    <w:rsid w:val="0089673C"/>
    <w:rsid w:val="008F6815"/>
    <w:rsid w:val="009111A2"/>
    <w:rsid w:val="009949E7"/>
    <w:rsid w:val="009B5B47"/>
    <w:rsid w:val="009E0260"/>
    <w:rsid w:val="009F2199"/>
    <w:rsid w:val="00A528A4"/>
    <w:rsid w:val="00A85816"/>
    <w:rsid w:val="00AD2B48"/>
    <w:rsid w:val="00AE0C10"/>
    <w:rsid w:val="00AE0CE3"/>
    <w:rsid w:val="00C203AA"/>
    <w:rsid w:val="00C54CEC"/>
    <w:rsid w:val="00D51AA8"/>
    <w:rsid w:val="00D94704"/>
    <w:rsid w:val="00DF0EAD"/>
    <w:rsid w:val="00E47CA5"/>
    <w:rsid w:val="00EC5023"/>
    <w:rsid w:val="00EF7A4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1171"/>
  <w15:chartTrackingRefBased/>
  <w15:docId w15:val="{12B53BF8-87E2-41BB-BBD1-50D1AB38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D32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D32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385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385D32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a5">
    <w:name w:val="List Paragraph"/>
    <w:basedOn w:val="a"/>
    <w:uiPriority w:val="1"/>
    <w:qFormat/>
    <w:rsid w:val="00385D32"/>
    <w:pPr>
      <w:widowControl w:val="0"/>
      <w:autoSpaceDE w:val="0"/>
      <w:autoSpaceDN w:val="0"/>
      <w:spacing w:after="0" w:line="240" w:lineRule="auto"/>
      <w:ind w:left="119" w:right="588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customStyle="1" w:styleId="3">
    <w:name w:val="Основной текст (3)_"/>
    <w:link w:val="30"/>
    <w:uiPriority w:val="99"/>
    <w:locked/>
    <w:rsid w:val="008F6815"/>
    <w:rPr>
      <w:rFonts w:ascii="Cambria" w:hAnsi="Cambria" w:cs="Cambria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F6815"/>
    <w:pPr>
      <w:widowControl w:val="0"/>
      <w:shd w:val="clear" w:color="auto" w:fill="FFFFFF"/>
      <w:spacing w:before="1200" w:after="0" w:line="456" w:lineRule="exact"/>
      <w:jc w:val="right"/>
    </w:pPr>
    <w:rPr>
      <w:rFonts w:ascii="Cambria" w:hAnsi="Cambria" w:cs="Cambria"/>
      <w:b/>
      <w:bCs/>
      <w:sz w:val="36"/>
      <w:szCs w:val="36"/>
    </w:rPr>
  </w:style>
  <w:style w:type="character" w:customStyle="1" w:styleId="docdata">
    <w:name w:val="docdata"/>
    <w:aliases w:val="docy,v5,1451,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267332"/>
  </w:style>
  <w:style w:type="paragraph" w:styleId="a6">
    <w:name w:val="Normal (Web)"/>
    <w:basedOn w:val="a"/>
    <w:uiPriority w:val="99"/>
    <w:unhideWhenUsed/>
    <w:rsid w:val="009B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973">
    <w:name w:val="1973"/>
    <w:aliases w:val="baiaagaaboqcaaad7guaaax8bqaaaaaaaaaaaaaaaaaaaaaaaaaaaaaaaaaaaaaaaaaaaaaaaaaaaaaaaaaaaaaaaaaaaaaaaaaaaaaaaaaaaaaaaaaaaaaaaaaaaaaaaaaaaaaaaaaaaaaaaaaaaaaaaaaaaaaaaaaaaaaaaaaaaaaaaaaaaaaaaaaaaaaaaaaaaaaaaaaaaaaaaaaaaaaaaaaaaaaaaaaaaaaa"/>
    <w:basedOn w:val="a"/>
    <w:rsid w:val="009B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34">
    <w:name w:val="1334"/>
    <w:aliases w:val="baiaagaaboqcaaadbwmaaav9awaaaaaaaaaaaaaaaaaaaaaaaaaaaaaaaaaaaaaaaaaaaaaaaaaaaaaaaaaaaaaaaaaaaaaaaaaaaaaaaaaaaaaaaaaaaaaaaaaaaaaaaaaaaaaaaaaaaaaaaaaaaaaaaaaaaaaaaaaaaaaaaaaaaaaaaaaaaaaaaaaaaaaaaaaaaaaaaaaaaaaaaaaaaaaaaaaaaaaaaaaaaaaa"/>
    <w:basedOn w:val="a"/>
    <w:rsid w:val="00AD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459">
    <w:name w:val="1459"/>
    <w:aliases w:val="baiaagaaboqcaaad7amaaax6awaaaaaaaaaaaaaaaaaaaaaaaaaaaaaaaaaaaaaaaaaaaaaaaaaaaaaaaaaaaaaaaaaaaaaaaaaaaaaaaaaaaaaaaaaaaaaaaaaaaaaaaaaaaaaaaaaaaaaaaaaaaaaaaaaaaaaaaaaaaaaaaaaaaaaaaaaaaaaaaaaaaaaaaaaaaaaaaaaaaaaaaaaaaaaaaaaaaaaaaaaaaaaa"/>
    <w:basedOn w:val="a"/>
    <w:rsid w:val="00AD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2024-10-15T19:26:00Z</dcterms:created>
  <dcterms:modified xsi:type="dcterms:W3CDTF">2024-12-09T18:26:00Z</dcterms:modified>
</cp:coreProperties>
</file>