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Кафедра граматики англійської мови</w:t>
      </w:r>
    </w:p>
    <w:p>
      <w:pPr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лексикології та стилістики  англійської мови </w:t>
      </w:r>
    </w:p>
    <w:p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Кафедра теоретичної та прикладної фонетики англійської мови</w:t>
      </w: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</w:rPr>
      </w:pP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(англійська)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к.філол.н., доцент Віт Ю.В.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к.філол.н., доцент Кашуба М.В.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к.філол.н., доцент Пожарицька О.О.,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доц.Віт Ю.В.: </w:t>
            </w:r>
            <w:r>
              <w:fldChar w:fldCharType="begin"/>
            </w:r>
            <w:r>
              <w:instrText xml:space="preserve"> HYPERLINK "mailto:juliavit24@gmail.com"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en-US"/>
              </w:rPr>
              <w:t>juliavit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24@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gmail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com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fldChar w:fldCharType="end"/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доц. Кашуба М.В.: </w:t>
            </w:r>
            <w:r>
              <w:fldChar w:fldCharType="begin"/>
            </w:r>
            <w:r>
              <w:instrText xml:space="preserve"> HYPERLINK "mailto:marina.kashuba68@gmail.com"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marina.kashuba68@gmail.com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доц. Пожарицька О.О.: </w:t>
            </w:r>
            <w:r>
              <w:fldChar w:fldCharType="begin"/>
            </w:r>
            <w:r>
              <w:instrText xml:space="preserve"> HYPERLINK "mailto:grammarlena@onu.edu.ua"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grammarlena@onu.edu.ua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  <w:p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Кафедра лексикології та стилістики  англійської мови </w:t>
            </w:r>
            <w:r>
              <w:rPr>
                <w:bCs/>
                <w:sz w:val="28"/>
                <w:szCs w:val="28"/>
                <w:lang w:val="uk-UA"/>
              </w:rPr>
              <w:t>, ауд.110</w:t>
            </w:r>
          </w:p>
          <w:p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Кафедра теоретичної та прикладної фонетики англійської мови</w:t>
            </w:r>
            <w:r>
              <w:rPr>
                <w:bCs/>
                <w:sz w:val="28"/>
                <w:szCs w:val="28"/>
                <w:lang w:val="uk-UA"/>
              </w:rPr>
              <w:t>, ауд.118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  <w:t>згідно з графіком консультацій:</w:t>
            </w:r>
            <w: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  <w:t>https://onu.edu.ua/uk/structure/faculty/rgf/dystsypliny</w:t>
            </w:r>
          </w:p>
        </w:tc>
      </w:tr>
    </w:tbl>
    <w:p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КОМУНІКАЦІЯ</w:t>
      </w:r>
    </w:p>
    <w:p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﻿</w:t>
      </w:r>
      <w:r>
        <w:rPr>
          <w:sz w:val="28"/>
          <w:szCs w:val="28"/>
          <w:lang w:val="uk-UA"/>
        </w:rPr>
        <w:t xml:space="preserve"> доц. Віт Ю.В.: </w:t>
      </w:r>
      <w:r>
        <w:rPr>
          <w:rStyle w:val="4"/>
          <w:sz w:val="28"/>
          <w:szCs w:val="28"/>
          <w:lang w:val="en-US"/>
        </w:rPr>
        <w:t>Meeting</w:t>
      </w:r>
      <w:r>
        <w:rPr>
          <w:rStyle w:val="4"/>
          <w:sz w:val="28"/>
          <w:szCs w:val="28"/>
          <w:lang w:val="uk-UA"/>
        </w:rPr>
        <w:t xml:space="preserve"> </w:t>
      </w:r>
      <w:r>
        <w:rPr>
          <w:rStyle w:val="4"/>
          <w:sz w:val="28"/>
          <w:szCs w:val="28"/>
          <w:lang w:val="en-US"/>
        </w:rPr>
        <w:t>ID</w:t>
      </w:r>
      <w:r>
        <w:rPr>
          <w:rStyle w:val="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740 8968 4850 </w:t>
      </w:r>
      <w:r>
        <w:rPr>
          <w:rStyle w:val="4"/>
          <w:sz w:val="28"/>
          <w:szCs w:val="28"/>
          <w:lang w:val="en-US"/>
        </w:rPr>
        <w:t xml:space="preserve"> Passcode</w:t>
      </w:r>
      <w:r>
        <w:rPr>
          <w:rStyle w:val="4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tw5x7e</w:t>
      </w:r>
      <w:r>
        <w:rPr>
          <w:lang w:val="en-US"/>
        </w:rPr>
        <w:t xml:space="preserve"> </w:t>
      </w:r>
      <w:r>
        <w:fldChar w:fldCharType="begin"/>
      </w:r>
      <w:r>
        <w:instrText xml:space="preserve"> HYPERLINK "https://us04web.zoom.us/j/74089684850?pwd=5Tibcm0QJ4pVumR0tEu6F7YyyigFdu.1" </w:instrText>
      </w:r>
      <w:r>
        <w:fldChar w:fldCharType="separate"/>
      </w:r>
      <w:r>
        <w:rPr>
          <w:rStyle w:val="4"/>
          <w:sz w:val="28"/>
          <w:szCs w:val="28"/>
          <w:lang w:val="uk-UA"/>
        </w:rPr>
        <w:t>https://us04web.zoom.us/j/74089684850?pwd=5Tibcm0QJ4pVumR0tEu6F7YyyigFdu.1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Кашуба М.В.: </w:t>
      </w:r>
      <w:r>
        <w:rPr>
          <w:sz w:val="28"/>
          <w:szCs w:val="28"/>
          <w:lang w:val="en-US"/>
        </w:rPr>
        <w:t xml:space="preserve">Meeting ID: 940 876 8688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Passcode: 798920</w:t>
      </w: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fldChar w:fldCharType="begin"/>
      </w:r>
      <w:r>
        <w:instrText xml:space="preserve"> HYPERLINK "https://us02web.zoom.us/j/4374245542?pwd=cVJmV3BQUjlQT3poankvbGh3UWlFdz09" </w:instrText>
      </w:r>
      <w:r>
        <w:fldChar w:fldCharType="separate"/>
      </w:r>
      <w:r>
        <w:rPr>
          <w:rStyle w:val="4"/>
          <w:sz w:val="28"/>
          <w:szCs w:val="28"/>
        </w:rPr>
        <w:t>https</w:t>
      </w:r>
      <w:r>
        <w:rPr>
          <w:rStyle w:val="4"/>
          <w:sz w:val="28"/>
          <w:szCs w:val="28"/>
          <w:lang w:val="uk-UA"/>
        </w:rPr>
        <w:t>://</w:t>
      </w:r>
      <w:r>
        <w:rPr>
          <w:rStyle w:val="4"/>
          <w:sz w:val="28"/>
          <w:szCs w:val="28"/>
        </w:rPr>
        <w:t>us</w:t>
      </w:r>
      <w:r>
        <w:rPr>
          <w:rStyle w:val="4"/>
          <w:sz w:val="28"/>
          <w:szCs w:val="28"/>
          <w:lang w:val="uk-UA"/>
        </w:rPr>
        <w:t>02</w:t>
      </w:r>
      <w:r>
        <w:rPr>
          <w:rStyle w:val="4"/>
          <w:sz w:val="28"/>
          <w:szCs w:val="28"/>
        </w:rPr>
        <w:t>web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</w:rPr>
        <w:t>zoom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</w:rPr>
        <w:t>us</w:t>
      </w:r>
      <w:r>
        <w:rPr>
          <w:rStyle w:val="4"/>
          <w:sz w:val="28"/>
          <w:szCs w:val="28"/>
          <w:lang w:val="uk-UA"/>
        </w:rPr>
        <w:t>/</w:t>
      </w:r>
      <w:r>
        <w:rPr>
          <w:rStyle w:val="4"/>
          <w:sz w:val="28"/>
          <w:szCs w:val="28"/>
        </w:rPr>
        <w:t>j</w:t>
      </w:r>
      <w:r>
        <w:rPr>
          <w:rStyle w:val="4"/>
          <w:sz w:val="28"/>
          <w:szCs w:val="28"/>
          <w:lang w:val="uk-UA"/>
        </w:rPr>
        <w:t>/4374245542?</w:t>
      </w:r>
      <w:r>
        <w:rPr>
          <w:rStyle w:val="4"/>
          <w:sz w:val="28"/>
          <w:szCs w:val="28"/>
        </w:rPr>
        <w:t>pwd</w:t>
      </w:r>
      <w:r>
        <w:rPr>
          <w:rStyle w:val="4"/>
          <w:sz w:val="28"/>
          <w:szCs w:val="28"/>
          <w:lang w:val="uk-UA"/>
        </w:rPr>
        <w:t>=</w:t>
      </w:r>
      <w:r>
        <w:rPr>
          <w:rStyle w:val="4"/>
          <w:sz w:val="28"/>
          <w:szCs w:val="28"/>
        </w:rPr>
        <w:t>cVJmV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</w:rPr>
        <w:t>BQUjlQT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</w:rPr>
        <w:t>poankvbGh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</w:rPr>
        <w:t>UWlFdz</w:t>
      </w:r>
      <w:r>
        <w:rPr>
          <w:rStyle w:val="4"/>
          <w:sz w:val="28"/>
          <w:szCs w:val="28"/>
          <w:lang w:val="uk-UA"/>
        </w:rPr>
        <w:t>09</w:t>
      </w:r>
      <w:r>
        <w:rPr>
          <w:rStyle w:val="4"/>
          <w:sz w:val="28"/>
          <w:szCs w:val="28"/>
          <w:lang w:val="uk-UA"/>
        </w:rPr>
        <w:fldChar w:fldCharType="end"/>
      </w:r>
      <w:r>
        <w:fldChar w:fldCharType="begin"/>
      </w:r>
      <w:r>
        <w:instrText xml:space="preserve"> HYPERLINK "https://us04web.zoom.us/j/528143799?pwd=RC9IWUFnSHVnT2FHVFo1Q0Vna3hBZz09"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</w:t>
      </w:r>
      <w:r>
        <w:rPr>
          <w:rStyle w:val="4"/>
          <w:sz w:val="28"/>
          <w:szCs w:val="28"/>
          <w:lang w:val="uk-UA"/>
        </w:rPr>
        <w:t>://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04</w:t>
      </w:r>
      <w:r>
        <w:rPr>
          <w:rStyle w:val="4"/>
          <w:sz w:val="28"/>
          <w:szCs w:val="28"/>
          <w:lang w:val="en-US"/>
        </w:rPr>
        <w:t>web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zoom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/</w:t>
      </w:r>
      <w:r>
        <w:rPr>
          <w:rStyle w:val="4"/>
          <w:sz w:val="28"/>
          <w:szCs w:val="28"/>
          <w:lang w:val="en-US"/>
        </w:rPr>
        <w:t>j</w:t>
      </w:r>
      <w:r>
        <w:rPr>
          <w:rStyle w:val="4"/>
          <w:sz w:val="28"/>
          <w:szCs w:val="28"/>
          <w:lang w:val="uk-UA"/>
        </w:rPr>
        <w:t>/528143799?</w:t>
      </w:r>
      <w:r>
        <w:rPr>
          <w:rStyle w:val="4"/>
          <w:sz w:val="28"/>
          <w:szCs w:val="28"/>
          <w:lang w:val="en-US"/>
        </w:rPr>
        <w:t>pwd</w:t>
      </w:r>
      <w:r>
        <w:rPr>
          <w:rStyle w:val="4"/>
          <w:sz w:val="28"/>
          <w:szCs w:val="28"/>
          <w:lang w:val="uk-UA"/>
        </w:rPr>
        <w:t>=</w:t>
      </w:r>
      <w:r>
        <w:rPr>
          <w:rStyle w:val="4"/>
          <w:sz w:val="28"/>
          <w:szCs w:val="28"/>
          <w:lang w:val="en-US"/>
        </w:rPr>
        <w:t>RC</w:t>
      </w:r>
      <w:r>
        <w:rPr>
          <w:rStyle w:val="4"/>
          <w:sz w:val="28"/>
          <w:szCs w:val="28"/>
          <w:lang w:val="uk-UA"/>
        </w:rPr>
        <w:t>9</w:t>
      </w:r>
      <w:r>
        <w:rPr>
          <w:rStyle w:val="4"/>
          <w:sz w:val="28"/>
          <w:szCs w:val="28"/>
          <w:lang w:val="en-US"/>
        </w:rPr>
        <w:t>IWUFnSHVnT</w:t>
      </w:r>
      <w:r>
        <w:rPr>
          <w:rStyle w:val="4"/>
          <w:sz w:val="28"/>
          <w:szCs w:val="28"/>
          <w:lang w:val="uk-UA"/>
        </w:rPr>
        <w:t>2</w:t>
      </w:r>
      <w:r>
        <w:rPr>
          <w:rStyle w:val="4"/>
          <w:sz w:val="28"/>
          <w:szCs w:val="28"/>
          <w:lang w:val="en-US"/>
        </w:rPr>
        <w:t>FHVFo</w:t>
      </w:r>
      <w:r>
        <w:rPr>
          <w:rStyle w:val="4"/>
          <w:sz w:val="28"/>
          <w:szCs w:val="28"/>
          <w:lang w:val="uk-UA"/>
        </w:rPr>
        <w:t>1</w:t>
      </w:r>
      <w:r>
        <w:rPr>
          <w:rStyle w:val="4"/>
          <w:sz w:val="28"/>
          <w:szCs w:val="28"/>
          <w:lang w:val="en-US"/>
        </w:rPr>
        <w:t>Q</w:t>
      </w:r>
      <w:r>
        <w:rPr>
          <w:rStyle w:val="4"/>
          <w:sz w:val="28"/>
          <w:szCs w:val="28"/>
          <w:lang w:val="uk-UA"/>
        </w:rPr>
        <w:t>0</w:t>
      </w:r>
      <w:r>
        <w:rPr>
          <w:rStyle w:val="4"/>
          <w:sz w:val="28"/>
          <w:szCs w:val="28"/>
          <w:lang w:val="en-US"/>
        </w:rPr>
        <w:t>Vna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  <w:lang w:val="en-US"/>
        </w:rPr>
        <w:t>hBZz</w:t>
      </w:r>
      <w:r>
        <w:rPr>
          <w:rStyle w:val="4"/>
          <w:sz w:val="28"/>
          <w:szCs w:val="28"/>
          <w:lang w:val="uk-UA"/>
        </w:rPr>
        <w:t>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Пожарицька О.О.: </w:t>
      </w:r>
      <w:r>
        <w:rPr>
          <w:sz w:val="28"/>
          <w:szCs w:val="28"/>
          <w:lang w:val="en-US"/>
        </w:rPr>
        <w:t>Meeting ID: 528 143 799 Passcode: 022745</w:t>
      </w:r>
    </w:p>
    <w:p>
      <w:pPr>
        <w:rPr>
          <w:sz w:val="28"/>
          <w:szCs w:val="28"/>
          <w:lang w:val="uk-UA"/>
        </w:rPr>
      </w:pPr>
      <w:r>
        <w:fldChar w:fldCharType="begin"/>
      </w:r>
      <w:r>
        <w:instrText xml:space="preserve"> HYPERLINK "https://us04web.zoom.us/j/2741773273?pwd=U3JqeThneEY3TWh0WlFhSFFnZTVwdz09"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</w:t>
      </w:r>
      <w:r>
        <w:rPr>
          <w:rStyle w:val="4"/>
          <w:sz w:val="28"/>
          <w:szCs w:val="28"/>
          <w:lang w:val="uk-UA"/>
        </w:rPr>
        <w:t>://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04</w:t>
      </w:r>
      <w:r>
        <w:rPr>
          <w:rStyle w:val="4"/>
          <w:sz w:val="28"/>
          <w:szCs w:val="28"/>
          <w:lang w:val="en-US"/>
        </w:rPr>
        <w:t>web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zoom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/</w:t>
      </w:r>
      <w:r>
        <w:rPr>
          <w:rStyle w:val="4"/>
          <w:sz w:val="28"/>
          <w:szCs w:val="28"/>
          <w:lang w:val="en-US"/>
        </w:rPr>
        <w:t>j</w:t>
      </w:r>
      <w:r>
        <w:rPr>
          <w:rStyle w:val="4"/>
          <w:sz w:val="28"/>
          <w:szCs w:val="28"/>
          <w:lang w:val="uk-UA"/>
        </w:rPr>
        <w:t>/2741773273?</w:t>
      </w:r>
      <w:r>
        <w:rPr>
          <w:rStyle w:val="4"/>
          <w:sz w:val="28"/>
          <w:szCs w:val="28"/>
          <w:lang w:val="en-US"/>
        </w:rPr>
        <w:t>pwd</w:t>
      </w:r>
      <w:r>
        <w:rPr>
          <w:rStyle w:val="4"/>
          <w:sz w:val="28"/>
          <w:szCs w:val="28"/>
          <w:lang w:val="uk-UA"/>
        </w:rPr>
        <w:t>=</w:t>
      </w:r>
      <w:r>
        <w:rPr>
          <w:rStyle w:val="4"/>
          <w:sz w:val="28"/>
          <w:szCs w:val="28"/>
          <w:lang w:val="en-US"/>
        </w:rPr>
        <w:t>U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  <w:lang w:val="en-US"/>
        </w:rPr>
        <w:t>JqeThneEY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  <w:lang w:val="en-US"/>
        </w:rPr>
        <w:t>TWh</w:t>
      </w:r>
      <w:r>
        <w:rPr>
          <w:rStyle w:val="4"/>
          <w:sz w:val="28"/>
          <w:szCs w:val="28"/>
          <w:lang w:val="uk-UA"/>
        </w:rPr>
        <w:t>0</w:t>
      </w:r>
      <w:r>
        <w:rPr>
          <w:rStyle w:val="4"/>
          <w:sz w:val="28"/>
          <w:szCs w:val="28"/>
          <w:lang w:val="en-US"/>
        </w:rPr>
        <w:t>WlFhSFFnZTVwdz</w:t>
      </w:r>
      <w:r>
        <w:rPr>
          <w:rStyle w:val="4"/>
          <w:sz w:val="28"/>
          <w:szCs w:val="28"/>
          <w:lang w:val="uk-UA"/>
        </w:rPr>
        <w:t>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</w:p>
    <w:p>
      <w:pPr>
        <w:jc w:val="center"/>
        <w:rPr>
          <w:rFonts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АНОТАЦІЯ  КУРСУ</w:t>
      </w:r>
    </w:p>
    <w:p>
      <w:pPr>
        <w:ind w:firstLine="540"/>
        <w:jc w:val="both"/>
        <w:rPr>
          <w:lang w:val="uk-UA"/>
        </w:rPr>
      </w:pP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 вивчення дисципліни</w:t>
      </w:r>
      <w:r>
        <w:rPr>
          <w:sz w:val="28"/>
          <w:szCs w:val="28"/>
          <w:lang w:val="uk-UA"/>
        </w:rPr>
        <w:t xml:space="preserve"> система англійської мови з точки зору її граматичних, лексико-стилістичних та фонетичних особливостей.</w:t>
      </w:r>
    </w:p>
    <w:p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вивчення зазначеної дисципліни здобувачі другого (магістерського) рівня вищої освіти опановують знання, які забезпечують необхідну для професіонала комунікативну конкурентоспроможність в сферах професійного, соціального спілкування в усній і письмовій формах.</w:t>
      </w: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Передумовами для вивчення дисципліни є набуття теоретичних знань та практичних навичок володіння англійською мовою як другою іноземною за програмою освітнього рівня – бакалавр, отож </w:t>
      </w:r>
      <w:r>
        <w:rPr>
          <w:b/>
          <w:i/>
          <w:sz w:val="28"/>
          <w:szCs w:val="28"/>
          <w:lang w:val="uk-UA"/>
        </w:rPr>
        <w:t>передреквізити</w:t>
      </w:r>
      <w:r>
        <w:rPr>
          <w:b/>
          <w:sz w:val="28"/>
          <w:szCs w:val="28"/>
          <w:lang w:val="uk-UA"/>
        </w:rPr>
        <w:t xml:space="preserve"> курсу: </w:t>
      </w:r>
      <w:r>
        <w:rPr>
          <w:sz w:val="28"/>
          <w:szCs w:val="28"/>
          <w:lang w:val="uk-UA"/>
        </w:rPr>
        <w:t>освітні компоненти «</w:t>
      </w:r>
      <w:r>
        <w:rPr>
          <w:color w:val="000000"/>
          <w:sz w:val="28"/>
          <w:szCs w:val="28"/>
          <w:shd w:val="clear" w:color="auto" w:fill="FFFFFF"/>
          <w:lang w:val="uk-UA"/>
        </w:rPr>
        <w:t>Друга іноземна мова (англійська)», «Виробнича (педагогічна) практика» для першого (бакалаврського) рівня вищої освіти.</w:t>
      </w: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Постреквізити курсу: </w:t>
      </w:r>
      <w:r>
        <w:rPr>
          <w:sz w:val="28"/>
          <w:szCs w:val="28"/>
          <w:lang w:val="uk-UA"/>
        </w:rPr>
        <w:t>освітні компоненти «</w:t>
      </w:r>
      <w:r>
        <w:rPr>
          <w:color w:val="000000"/>
          <w:sz w:val="28"/>
          <w:szCs w:val="28"/>
          <w:shd w:val="clear" w:color="auto" w:fill="FFFFFF"/>
          <w:lang w:val="uk-UA"/>
        </w:rPr>
        <w:t>Методика викладання іноземної мови і зарубіжної літератури у вищій школі»,</w:t>
      </w:r>
      <w:r>
        <w:rPr>
          <w:sz w:val="28"/>
          <w:szCs w:val="28"/>
          <w:lang w:val="uk-UA"/>
        </w:rPr>
        <w:t xml:space="preserve"> «Асистентська практика магістра».</w:t>
      </w:r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</w:t>
      </w:r>
      <w:r>
        <w:rPr>
          <w:color w:val="000000"/>
          <w:sz w:val="28"/>
          <w:szCs w:val="28"/>
          <w:lang w:val="uk-UA"/>
        </w:rPr>
        <w:t xml:space="preserve"> курсу навчальної дисципліни полягає в оволодінні здобувачами вищої освіти знаннями граматичної, лексичної та фонетичної систем англійської мови, разом з її синтаксисом та стилістикою, розвитку в них навичок нормативного вживання конкретних граматичних форм та синтаксичних конструкцій, лексем, вмінь проводити базовий синтаксичний, стилістичний та фонетичний аналізи на різних лінгвістичних рівнях,</w:t>
      </w:r>
      <w:r>
        <w:rPr>
          <w:sz w:val="25"/>
          <w:szCs w:val="25"/>
          <w:lang w:val="uk-UA"/>
        </w:rPr>
        <w:t xml:space="preserve"> </w:t>
      </w:r>
      <w:r>
        <w:rPr>
          <w:sz w:val="28"/>
          <w:szCs w:val="28"/>
          <w:lang w:val="uk-UA"/>
        </w:rPr>
        <w:t>а також у формуванні академічних навичок, необхідних для використання англійської мови в науковій та професійній діяльності.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jc w:val="both"/>
        <w:rPr>
          <w:rFonts w:eastAsia="Times"/>
          <w:b/>
          <w:color w:val="000000"/>
          <w:sz w:val="28"/>
          <w:szCs w:val="28"/>
        </w:rPr>
      </w:pPr>
      <w:r>
        <w:rPr>
          <w:rFonts w:eastAsia="Times"/>
          <w:b/>
          <w:color w:val="000000"/>
          <w:sz w:val="28"/>
          <w:szCs w:val="28"/>
        </w:rPr>
        <w:t xml:space="preserve">Завдання: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дати систематизовані, глибокі знання з англійської граматики, особливу увагу фокусуючи на неособових формах дієслова, модальних дієсловах та умовному способі дієслова, синтаксичних структурах, представлених у реченні; навчити здобувачів вищої освіти використовувати граматичні знання за даними темами та сформувати їхні англомовні вміння як в письмовому, так і в усному діалогічному та монологічному мовленні, прищепити базові навички англо-українського та українсько-англійського перекладу в межах окреслених тем;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систематизувати та поглибити знання з комплексного аналізу текстів різних функціональних стилів – художнього, публіцистичного, наукового; поглибити знання з теорії інтерпретації тексту; закріпити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англійською мовою; </w:t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навчити </w:t>
      </w:r>
      <w:r>
        <w:rPr>
          <w:sz w:val="28"/>
          <w:szCs w:val="28"/>
        </w:rPr>
        <w:t>читанню, перекладу, реферуванню сучасної академічної і фахової літератури; навчити написанню і корегуванню анотацій до наукових статей; сприяти формуванню практичних презентаційних навичок щодо представлення  результатів досліджень в письмовій і усній формі з урахуванням прийнятих в країні мови, що вивчається, академічних норм і вимог до оформлення відповідних текстів;</w:t>
      </w:r>
      <w:r>
        <w:t xml:space="preserve"> </w:t>
      </w:r>
      <w:r>
        <w:rPr>
          <w:sz w:val="28"/>
          <w:szCs w:val="28"/>
        </w:rPr>
        <w:t>cприяти набуттю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rPr>
          <w:b/>
          <w:bCs/>
          <w:i/>
          <w:color w:val="000000"/>
          <w:sz w:val="28"/>
          <w:szCs w:val="28"/>
          <w:lang w:val="uk-UA"/>
        </w:rPr>
      </w:pPr>
      <w:bookmarkStart w:id="0" w:name="_30j0zll" w:colFirst="0" w:colLast="0"/>
      <w:bookmarkEnd w:id="0"/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здобувач вищої освіти має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знати</w:t>
      </w:r>
      <w:r>
        <w:rPr>
          <w:color w:val="000000"/>
          <w:sz w:val="28"/>
          <w:szCs w:val="28"/>
        </w:rPr>
        <w:t xml:space="preserve"> англійську морфологію та синтаксис;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основи інтерпретації тексту;</w:t>
      </w:r>
      <w:r>
        <w:rPr>
          <w:sz w:val="28"/>
          <w:szCs w:val="28"/>
        </w:rPr>
        <w:t xml:space="preserve"> основи </w:t>
      </w:r>
      <w:r>
        <w:rPr>
          <w:color w:val="000000"/>
          <w:sz w:val="28"/>
          <w:szCs w:val="28"/>
        </w:rPr>
        <w:t>метамови комплексного аналізу тексту;</w:t>
      </w:r>
      <w:r>
        <w:rPr>
          <w:sz w:val="28"/>
          <w:szCs w:val="28"/>
        </w:rPr>
        <w:t xml:space="preserve"> експресивні, емоційні, логічні засоби мови та техніку мовлення;</w:t>
      </w:r>
    </w:p>
    <w:p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вміти</w:t>
      </w:r>
      <w:r>
        <w:rPr>
          <w:color w:val="000000"/>
          <w:sz w:val="28"/>
          <w:szCs w:val="28"/>
        </w:rPr>
        <w:t xml:space="preserve"> вільно володіти англомовними конструкціями; перекладати з/на англійську мову;</w:t>
      </w:r>
      <w:r>
        <w:rPr>
          <w:sz w:val="28"/>
          <w:szCs w:val="28"/>
        </w:rPr>
        <w:t xml:space="preserve"> здійснювати </w:t>
      </w:r>
      <w:r>
        <w:rPr>
          <w:color w:val="000000"/>
          <w:sz w:val="28"/>
          <w:szCs w:val="28"/>
        </w:rPr>
        <w:t>комплексний аналіз текстів різних функціональних стилів – художнього, публіцистичного, наукового; виявляти та характеризувати різні стилістичні засоби</w:t>
      </w:r>
      <w:r>
        <w:rPr>
          <w:sz w:val="28"/>
          <w:szCs w:val="28"/>
        </w:rPr>
        <w:t xml:space="preserve"> досягнення запланованого прагматичного результату й організації успішної комунікації; реферувати академічні й фахові джерела; писати анотації до наукових статей; представляти  результати досліджень в письмовій і усній формі як фахівцям, так і широкому загалу; створювати, редагувати тексти різних стилів і жанрів.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</w:rPr>
      </w:pPr>
    </w:p>
    <w:p>
      <w:pPr>
        <w:tabs>
          <w:tab w:val="left" w:pos="1800"/>
        </w:tabs>
        <w:ind w:firstLine="708"/>
        <w:jc w:val="both"/>
        <w:rPr>
          <w:sz w:val="28"/>
          <w:szCs w:val="28"/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Курс буде викладений у формі практичних занять (</w:t>
      </w:r>
      <w:r>
        <w:rPr>
          <w:rFonts w:eastAsia="Calibri"/>
          <w:sz w:val="28"/>
          <w:szCs w:val="28"/>
        </w:rPr>
        <w:t>120</w:t>
      </w:r>
      <w:r>
        <w:rPr>
          <w:rFonts w:eastAsia="Calibri"/>
          <w:sz w:val="28"/>
          <w:szCs w:val="28"/>
          <w:lang w:val="uk-UA"/>
        </w:rPr>
        <w:t xml:space="preserve"> год.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val="uk-UA"/>
        </w:rPr>
        <w:t xml:space="preserve">на очному відділенні, 66 год. − на заочному відділенні), організації самостійної роботи студентів  (240 год. – на очному відділенні, 294 год. − на заочному відділенні). </w:t>
      </w:r>
    </w:p>
    <w:p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 1</w:t>
      </w:r>
    </w:p>
    <w:p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Словесні: розповідь, пояснення, бесіда;</w:t>
      </w:r>
    </w:p>
    <w:p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наочні: ілюстрування навчального матеріалу (у тому числі презентації);</w:t>
      </w:r>
    </w:p>
    <w:p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практичні: вправи (усні та письмові): рецептивні, репродуктивні, продуктивні;  некомунікативні, умовно-комунікативні, комунікативні, на заповнення пропусків, синтаксичні трансформації речень, переклад, одно-/двомовні вправи, синтаксичне моделювання речень, практикування та побудування діалогів за заданими синтаксичними параметрами висловлювань, синтаксичний аналіз речень, виконання тестів; творчі завдання.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ЗМ 2</w:t>
      </w:r>
    </w:p>
    <w:p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Словесні: розповідь, пояснення, бесіда;</w:t>
      </w:r>
    </w:p>
    <w:p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наочні: ілюстрування (у тому числі мультимедійні презентації), презентація результатів власних досліджень;</w:t>
      </w:r>
    </w:p>
    <w:p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практичні: навчально-дослідницька робота (аналіз творів художньої літератури, </w:t>
      </w:r>
      <w:r>
        <w:rPr>
          <w:color w:val="000000"/>
          <w:sz w:val="28"/>
          <w:szCs w:val="28"/>
        </w:rPr>
        <w:t>наукового, науково-популярного та публіцистичного тексту), творчі завдання</w:t>
      </w:r>
      <w:r>
        <w:rPr>
          <w:sz w:val="28"/>
          <w:szCs w:val="28"/>
        </w:rPr>
        <w:t xml:space="preserve">.   </w:t>
      </w: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3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бесіда;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ілюстрування (у тому числі мультимедійні презентації), презентація результатів власних досліджень;</w:t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практичні: </w:t>
      </w:r>
      <w:r>
        <w:rPr>
          <w:color w:val="000000"/>
          <w:sz w:val="28"/>
          <w:szCs w:val="28"/>
        </w:rPr>
        <w:t>тренувальні вправи</w:t>
      </w:r>
      <w:r>
        <w:rPr>
          <w:color w:val="000000"/>
          <w:sz w:val="28"/>
          <w:szCs w:val="28"/>
          <w:shd w:val="clear" w:color="auto" w:fill="FFFFFF"/>
        </w:rPr>
        <w:t>, т</w:t>
      </w:r>
      <w:r>
        <w:rPr>
          <w:sz w:val="28"/>
          <w:szCs w:val="28"/>
        </w:rPr>
        <w:t>ворчі завдання, н</w:t>
      </w:r>
      <w:r>
        <w:rPr>
          <w:color w:val="000000"/>
          <w:sz w:val="28"/>
          <w:szCs w:val="28"/>
          <w:shd w:val="clear" w:color="auto" w:fill="FFFFFF"/>
        </w:rPr>
        <w:t xml:space="preserve">аписання резюме, складання анотованої бібліографії. </w:t>
      </w:r>
      <w:r>
        <w:rPr>
          <w:sz w:val="28"/>
          <w:szCs w:val="28"/>
        </w:rPr>
        <w:t>Комунікативний метод.</w:t>
      </w: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8"/>
          <w:szCs w:val="28"/>
        </w:rPr>
      </w:pPr>
      <w:r>
        <w:rPr>
          <w:rFonts w:eastAsia="Times"/>
          <w:b/>
          <w:color w:val="000000"/>
          <w:sz w:val="28"/>
          <w:szCs w:val="28"/>
        </w:rPr>
        <w:t>1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1. Граматика сучасної англійської мови: </w:t>
      </w:r>
      <w:r>
        <w:rPr>
          <w:b/>
          <w:color w:val="000000"/>
          <w:sz w:val="28"/>
          <w:szCs w:val="28"/>
          <w:lang w:val="uk-UA"/>
        </w:rPr>
        <w:t>н</w:t>
      </w:r>
      <w:r>
        <w:rPr>
          <w:b/>
          <w:color w:val="000000"/>
          <w:sz w:val="28"/>
          <w:szCs w:val="28"/>
        </w:rPr>
        <w:t>еособові форми дієслова, модальні дієслова, умовний спосіб дієслова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</w:t>
      </w:r>
      <w:r>
        <w:rPr>
          <w:color w:val="000000"/>
          <w:sz w:val="28"/>
          <w:szCs w:val="28"/>
          <w:lang w:val="en-US"/>
        </w:rPr>
        <w:t>. The Non-Finites. Syntactic Complexes &amp; Constructions with Them. Infinitive Complexes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</w:t>
      </w:r>
      <w:r>
        <w:rPr>
          <w:color w:val="000000"/>
          <w:sz w:val="28"/>
          <w:szCs w:val="28"/>
          <w:lang w:val="en-US"/>
        </w:rPr>
        <w:t xml:space="preserve"> Gerundial and Half-Gerundial Complexes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Participle Complexes and Constructions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</w:t>
      </w:r>
      <w:r>
        <w:rPr>
          <w:color w:val="000000"/>
          <w:sz w:val="28"/>
          <w:szCs w:val="28"/>
          <w:lang w:val="en-US"/>
        </w:rPr>
        <w:t xml:space="preserve"> Modal Verbs: Basic Meanings and the Use of Infinitives. Can/Could, May/Might, Must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</w:t>
      </w:r>
      <w:r>
        <w:rPr>
          <w:color w:val="000000"/>
          <w:sz w:val="28"/>
          <w:szCs w:val="28"/>
          <w:lang w:val="en-US"/>
        </w:rPr>
        <w:t xml:space="preserve"> Have to, Be to, Should, Ought to. Modal Verbs of Obligation Contrasted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6.</w:t>
      </w:r>
      <w:r>
        <w:rPr>
          <w:color w:val="000000"/>
          <w:sz w:val="28"/>
          <w:szCs w:val="28"/>
          <w:lang w:val="en-US"/>
        </w:rPr>
        <w:t xml:space="preserve"> Shall, Will, Would, Need, Dare, Used to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7.</w:t>
      </w:r>
      <w:r>
        <w:rPr>
          <w:color w:val="000000"/>
          <w:sz w:val="28"/>
          <w:szCs w:val="28"/>
          <w:lang w:val="en-US"/>
        </w:rPr>
        <w:t xml:space="preserve"> Moods: General Information. Subjunctive I. Conditionals Vs Sentences of Unreal Condition. Types 1 &amp; 2 of Sentences of Unreal Condition (2nd &amp; 3rd Conditionals)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8.</w:t>
      </w:r>
      <w:r>
        <w:rPr>
          <w:color w:val="000000"/>
          <w:sz w:val="28"/>
          <w:szCs w:val="28"/>
          <w:lang w:val="en-US"/>
        </w:rPr>
        <w:t xml:space="preserve"> Types 3 (Split Conditionals), 4 (“Would” in Conditional Clauses) &amp; 5 (“Should” in Conditional Clauses) of Sentences of Unreal Condition. Conditional Mood in Syntactic Patterns: But for, Otherwise; Would Rather, Had Better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9.</w:t>
      </w:r>
      <w:r>
        <w:rPr>
          <w:color w:val="000000"/>
          <w:sz w:val="28"/>
          <w:szCs w:val="28"/>
          <w:lang w:val="en-US"/>
        </w:rPr>
        <w:t xml:space="preserve"> Subjunctive II in Simple Sentences and Syntactic Patterns: Had Better; Oh, if…; If only…; Oh that… Subjunctive II in Subordinate Clauses: As if, As though… I wish…Suppositional Mood and Subjunctive I in Different Types of Clauses: Recommendations, Emotional Evaluation (Shock, I am Surprised…), Time (It’s (high) time…), Fear &amp; Purpose. Lest.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10.</w:t>
      </w:r>
      <w:r>
        <w:rPr>
          <w:color w:val="000000"/>
          <w:sz w:val="28"/>
          <w:szCs w:val="28"/>
          <w:lang w:val="en-US"/>
        </w:rPr>
        <w:t xml:space="preserve"> Moods in Modern English: Revision &amp; Final Test.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b/>
          <w:color w:val="000000"/>
          <w:sz w:val="28"/>
          <w:szCs w:val="28"/>
        </w:rPr>
        <w:t>Лексична практика та аналіз тексту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>Literature. Describing books and films.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Fiction in the 21st century.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>Technology. Challenges.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Art. What is a masterpiece? 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>Culture Shock. Travel and tourism.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</w:t>
      </w:r>
      <w:r>
        <w:rPr>
          <w:sz w:val="28"/>
          <w:szCs w:val="28"/>
          <w:lang w:val="en-US"/>
        </w:rPr>
        <w:t xml:space="preserve"> Basic notions in text analysis. Structure of the analysis.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6. </w:t>
      </w:r>
      <w:r>
        <w:rPr>
          <w:sz w:val="28"/>
          <w:szCs w:val="28"/>
          <w:lang w:val="en-US"/>
        </w:rPr>
        <w:t xml:space="preserve">Specific peculiarities of academic writing. Complex analysis of a scientific text: </w:t>
      </w:r>
      <w:r>
        <w:rPr>
          <w:i/>
          <w:sz w:val="28"/>
          <w:szCs w:val="28"/>
          <w:lang w:val="en-US"/>
        </w:rPr>
        <w:t>Synaesthetic adjectives: a possible law of semantic change</w:t>
      </w:r>
      <w:r>
        <w:rPr>
          <w:sz w:val="28"/>
          <w:szCs w:val="28"/>
          <w:lang w:val="en-US"/>
        </w:rPr>
        <w:t xml:space="preserve"> by Joseph M. Williams.</w:t>
      </w:r>
    </w:p>
    <w:p>
      <w:pPr>
        <w:rPr>
          <w:b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 Aкадемічне письмо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 </w:t>
            </w:r>
            <w:r>
              <w:rPr>
                <w:color w:val="000000"/>
                <w:sz w:val="28"/>
                <w:szCs w:val="28"/>
                <w:lang w:val="en-US"/>
              </w:rPr>
              <w:t>International academic conferences. Conference announcements. Call for papers. Academic and professional events.</w:t>
            </w: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University research.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Virtual learning environments. Research areas.</w:t>
            </w: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3. </w:t>
            </w:r>
            <w:r>
              <w:rPr>
                <w:color w:val="000000"/>
                <w:sz w:val="28"/>
                <w:szCs w:val="28"/>
                <w:lang w:val="en-US"/>
              </w:rPr>
              <w:t>Academic publications. Identifying the reader, type and purpose of academic texts.Features of academic texts.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4.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Writing a summary. First steps to writing a summary. Useful expressions for writing a summry.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5.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Literature review.  Processing information. Paraphrasing and summarizing.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8"/>
          <w:szCs w:val="28"/>
        </w:rPr>
      </w:pPr>
      <w:r>
        <w:rPr>
          <w:rFonts w:eastAsia="Times"/>
          <w:b/>
          <w:color w:val="000000"/>
          <w:sz w:val="28"/>
          <w:szCs w:val="28"/>
        </w:rPr>
        <w:t>2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1. Граматика сучасної англійської мови: </w:t>
      </w:r>
      <w:r>
        <w:rPr>
          <w:b/>
          <w:color w:val="000000"/>
          <w:sz w:val="28"/>
          <w:szCs w:val="28"/>
          <w:lang w:val="uk-UA"/>
        </w:rPr>
        <w:t>с</w:t>
      </w:r>
      <w:r>
        <w:rPr>
          <w:b/>
          <w:color w:val="000000"/>
          <w:sz w:val="28"/>
          <w:szCs w:val="28"/>
        </w:rPr>
        <w:t xml:space="preserve">учасні особливості вживання різних морфологічних форм та синтаксичних конструкцій 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>CPE Training. Introduction. Reading &amp; Use of English. Introduction to Idioms, Phrasal Verbs, and Word Formation.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Listening. Collocations. Prepositional Phrases. 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Writing. Essay.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Reading &amp; Use of English. Open Cloze. Key Word Transformation.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Speaking. Contrastive Stress. Degrees of Likelihood.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Аналіз наукового, науково-популярного та публіцистичного тексту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</w:t>
      </w:r>
      <w:r>
        <w:rPr>
          <w:sz w:val="28"/>
          <w:szCs w:val="28"/>
          <w:lang w:val="en-US"/>
        </w:rPr>
        <w:t xml:space="preserve"> Complex analysis of a scientific text: </w:t>
      </w:r>
      <w:r>
        <w:rPr>
          <w:i/>
          <w:sz w:val="28"/>
          <w:szCs w:val="28"/>
          <w:lang w:val="en-US"/>
        </w:rPr>
        <w:t>Conceptual dependency</w:t>
      </w:r>
      <w:r>
        <w:rPr>
          <w:sz w:val="28"/>
          <w:szCs w:val="28"/>
          <w:lang w:val="en-US"/>
        </w:rPr>
        <w:t xml:space="preserve"> by Peter Stockwell.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Breathing</w:t>
      </w:r>
      <w:r>
        <w:rPr>
          <w:sz w:val="28"/>
          <w:szCs w:val="28"/>
          <w:lang w:val="en-US"/>
        </w:rPr>
        <w:t xml:space="preserve"> by John Haldaine.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</w:t>
      </w:r>
      <w:r>
        <w:rPr>
          <w:sz w:val="28"/>
          <w:szCs w:val="28"/>
          <w:lang w:val="en-US"/>
        </w:rPr>
        <w:t xml:space="preserve"> Complex analysis of a popular scientific text: </w:t>
      </w:r>
      <w:r>
        <w:rPr>
          <w:i/>
          <w:sz w:val="28"/>
          <w:szCs w:val="28"/>
          <w:lang w:val="en-US"/>
        </w:rPr>
        <w:t>Stress</w:t>
      </w:r>
      <w:r>
        <w:rPr>
          <w:sz w:val="28"/>
          <w:szCs w:val="28"/>
          <w:lang w:val="en-US"/>
        </w:rPr>
        <w:t xml:space="preserve"> by E. Baldine.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</w:t>
      </w:r>
      <w:r>
        <w:rPr>
          <w:sz w:val="28"/>
          <w:szCs w:val="28"/>
          <w:lang w:val="en-US"/>
        </w:rPr>
        <w:t xml:space="preserve"> Specific peculiarities of publicist functional style. Complex analysis of a publicist text: </w:t>
      </w:r>
      <w:r>
        <w:rPr>
          <w:i/>
          <w:sz w:val="28"/>
          <w:szCs w:val="28"/>
          <w:lang w:val="en-US"/>
        </w:rPr>
        <w:t>First Inaugural Address</w:t>
      </w:r>
      <w:r>
        <w:rPr>
          <w:sz w:val="28"/>
          <w:szCs w:val="28"/>
          <w:lang w:val="en-US"/>
        </w:rPr>
        <w:t xml:space="preserve"> of William J. Clinton.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 publicist text: </w:t>
      </w:r>
      <w:r>
        <w:rPr>
          <w:i/>
          <w:sz w:val="28"/>
          <w:szCs w:val="28"/>
          <w:lang w:val="en-US"/>
        </w:rPr>
        <w:t>The Gettysburg Address</w:t>
      </w:r>
      <w:r>
        <w:rPr>
          <w:sz w:val="28"/>
          <w:szCs w:val="28"/>
          <w:lang w:val="en-US"/>
        </w:rPr>
        <w:t xml:space="preserve"> by Abraham Lincoln.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highlight w:val="cyan"/>
        </w:rPr>
      </w:pPr>
      <w:r>
        <w:rPr>
          <w:b/>
          <w:color w:val="000000"/>
          <w:sz w:val="28"/>
          <w:szCs w:val="28"/>
        </w:rPr>
        <w:t>Академічне письмо 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Rules of citation. References. Citation styles.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Annotation structure. Cliches and utterances. Useful expressions. Annotated bibliography/</w:t>
            </w:r>
          </w:p>
        </w:tc>
      </w:tr>
    </w:tbl>
    <w:p>
      <w:pPr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Describing research. The structure of a research article. Writing an abstract.</w:t>
      </w:r>
    </w:p>
    <w:p>
      <w:pPr>
        <w:jc w:val="center"/>
        <w:rPr>
          <w:b/>
          <w:color w:val="000000"/>
          <w:sz w:val="28"/>
          <w:szCs w:val="28"/>
          <w:lang w:val="uk-UA"/>
        </w:rPr>
      </w:pPr>
    </w:p>
    <w:p>
      <w:pPr>
        <w:jc w:val="center"/>
        <w:rPr>
          <w:b/>
          <w:color w:val="000000"/>
          <w:sz w:val="28"/>
          <w:szCs w:val="28"/>
          <w:lang w:val="uk-UA"/>
        </w:rPr>
      </w:pPr>
    </w:p>
    <w:p>
      <w:pPr>
        <w:jc w:val="center"/>
        <w:rPr>
          <w:b/>
          <w:color w:val="000000"/>
          <w:sz w:val="28"/>
          <w:szCs w:val="28"/>
          <w:lang w:val="uk-UA"/>
        </w:rPr>
      </w:pPr>
    </w:p>
    <w:p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3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b/>
          <w:color w:val="000000"/>
          <w:sz w:val="28"/>
          <w:szCs w:val="28"/>
        </w:rPr>
        <w:t>Граматика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сучасної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англійської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мови</w:t>
      </w:r>
      <w:r>
        <w:rPr>
          <w:b/>
          <w:color w:val="000000"/>
          <w:sz w:val="28"/>
          <w:szCs w:val="28"/>
          <w:lang w:val="en-US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с</w:t>
      </w:r>
      <w:r>
        <w:rPr>
          <w:b/>
          <w:color w:val="000000"/>
          <w:sz w:val="28"/>
          <w:szCs w:val="28"/>
        </w:rPr>
        <w:t>учасні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особливості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вживання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різних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морфологічних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та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синтаксичних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конструкцій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>
      <w:pPr>
        <w:rPr>
          <w:sz w:val="28"/>
          <w:szCs w:val="28"/>
          <w:lang w:val="fr-FR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 xml:space="preserve">CPE Training. Reading and Use of English. </w:t>
      </w:r>
      <w:r>
        <w:rPr>
          <w:color w:val="000000"/>
          <w:sz w:val="28"/>
          <w:szCs w:val="28"/>
          <w:lang w:val="fr-FR"/>
        </w:rPr>
        <w:t>Prepositions. Extended Noun Phrases.Modifiers. Conditional Clauses.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Writing. Review. Working with Two Texts.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Reading and Use of English. Multiple Matching. Participle Clauses. Adjectives.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Speaking. Inversion. Linking Words &amp; Phrases.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Listening. Multiple Matching. Register. General Revision. Exam Drilling.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Аналіз художнього тексту</w:t>
      </w:r>
    </w:p>
    <w:p>
      <w:pPr>
        <w:rPr>
          <w:b/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 xml:space="preserve">Specific peculiarities of  belles-lettres functional style. Complex analysis of an artistic text: </w:t>
      </w:r>
      <w:r>
        <w:rPr>
          <w:i/>
          <w:sz w:val="28"/>
          <w:szCs w:val="28"/>
          <w:lang w:val="en-US"/>
        </w:rPr>
        <w:t xml:space="preserve">How to Live to Be 200 </w:t>
      </w:r>
      <w:r>
        <w:rPr>
          <w:sz w:val="28"/>
          <w:szCs w:val="28"/>
          <w:lang w:val="en-US"/>
        </w:rPr>
        <w:t>by S.Leacock.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Bliss</w:t>
      </w:r>
      <w:r>
        <w:rPr>
          <w:sz w:val="28"/>
          <w:szCs w:val="28"/>
          <w:lang w:val="en-US"/>
        </w:rPr>
        <w:t xml:space="preserve"> by C.Mansfield.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Happy Man</w:t>
      </w:r>
      <w:r>
        <w:rPr>
          <w:sz w:val="28"/>
          <w:szCs w:val="28"/>
          <w:lang w:val="en-US"/>
        </w:rPr>
        <w:t xml:space="preserve"> by W.S.Maugham.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end of something</w:t>
      </w:r>
      <w:r>
        <w:rPr>
          <w:sz w:val="28"/>
          <w:szCs w:val="28"/>
          <w:lang w:val="en-US"/>
        </w:rPr>
        <w:t xml:space="preserve"> by E.Hemingway.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Lamb to the Slaughter</w:t>
      </w:r>
      <w:r>
        <w:rPr>
          <w:sz w:val="28"/>
          <w:szCs w:val="28"/>
          <w:lang w:val="en-US"/>
        </w:rPr>
        <w:t xml:space="preserve"> by Roald Dahl.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Академічне письмо англійською мовою </w:t>
      </w:r>
    </w:p>
    <w:tbl>
      <w:tblPr>
        <w:tblStyle w:val="3"/>
        <w:tblW w:w="9356" w:type="dxa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1. </w:t>
            </w:r>
            <w:r>
              <w:rPr>
                <w:sz w:val="28"/>
                <w:szCs w:val="28"/>
                <w:lang w:val="en-US"/>
              </w:rPr>
              <w:t xml:space="preserve">Presentation evaluation criteria. Presentation structure.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2. </w:t>
            </w:r>
            <w:r>
              <w:rPr>
                <w:sz w:val="28"/>
                <w:szCs w:val="28"/>
                <w:lang w:val="en-US"/>
              </w:rPr>
              <w:t xml:space="preserve">What makes a powerful presentation? </w:t>
            </w:r>
            <w:r>
              <w:rPr>
                <w:sz w:val="28"/>
                <w:szCs w:val="28"/>
              </w:rPr>
              <w:t>Signposting language. Transition words.</w:t>
            </w:r>
          </w:p>
        </w:tc>
      </w:tr>
      <w:tr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3. </w:t>
            </w:r>
            <w:r>
              <w:rPr>
                <w:sz w:val="28"/>
                <w:szCs w:val="28"/>
                <w:lang w:val="en-US"/>
              </w:rPr>
              <w:t>Describing visual data.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features of descriptions of visual information. </w:t>
            </w:r>
            <w:r>
              <w:rPr>
                <w:sz w:val="28"/>
                <w:szCs w:val="28"/>
              </w:rPr>
              <w:t>Creating slides.</w:t>
            </w:r>
          </w:p>
        </w:tc>
      </w:tr>
    </w:tbl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>
      <w:pPr>
        <w:ind w:firstLine="708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</w:t>
      </w:r>
    </w:p>
    <w:p>
      <w:pPr>
        <w:pStyle w:val="6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Єщенко Т.А. Лінгвістичний аналіз тексту. Київ : Академія, 2009. 264c. URL: https://library.udpu.edu.ua/library_files/425083.pdf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Capel Annette, Sharp Wendy. Cambridge English. Objective Proficiency. C2. CUP, 2013. 279 p.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>Book 1. Cambridge University Press and British Council, 2014. 175 p.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 xml:space="preserve">Book 2. Cambridge University Press and British Council, 2015. 171 p. 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Stepanenko O. The Use of the Non-Finites 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2021. 237 с.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1 : Modal Verbs 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 : Освіта України, 2021. 242 с.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2 : Moods: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 : Освіта України, 2022. 217 с.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Student’s Book (third edition). </w:t>
      </w:r>
      <w:r>
        <w:rPr>
          <w:color w:val="000000"/>
          <w:sz w:val="28"/>
          <w:szCs w:val="28"/>
        </w:rPr>
        <w:t>Oxford University Press, 2016. 175 p.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Workbook (third edition). </w:t>
      </w:r>
      <w:r>
        <w:rPr>
          <w:color w:val="000000"/>
          <w:sz w:val="28"/>
          <w:szCs w:val="28"/>
        </w:rPr>
        <w:t>Oxford University Press, 2016. 88 p.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McCarthy M., O’Dell F. English Vocabulary in Use. </w:t>
      </w:r>
      <w:r>
        <w:rPr>
          <w:color w:val="000000"/>
          <w:sz w:val="28"/>
          <w:szCs w:val="28"/>
        </w:rPr>
        <w:t>Cambridge University Press, 2017. 309 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Додаткова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Кочан І.М. Лінгвістичний аналіз тексту : навчальний посібник. Київ : Знання, 2008. 423c.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Кухаренко В.А. Інтерпретація тексту. Вінниця : Нова книга, 2004. 261с.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Скорина Л. Аналіз художнього твору : навчальний посібник для студентів гуманітарних спеціальностей. Тернопіль : Начальна книга-Богдан, 2013. 424с.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Морозова І.Б., Пожарицька О.О., Степаненко О.О. Інтеррогативне речення в аспекті поліпотентності інформації. </w:t>
      </w:r>
      <w:r>
        <w:rPr>
          <w:i/>
          <w:color w:val="000000"/>
          <w:sz w:val="28"/>
          <w:szCs w:val="28"/>
        </w:rPr>
        <w:t xml:space="preserve">Науковий вісник Херсонського державного університету. Серія «Лінгвістика» : Збірник наукових праць. Випуск 36. </w:t>
      </w:r>
      <w:r>
        <w:rPr>
          <w:color w:val="000000"/>
          <w:sz w:val="28"/>
          <w:szCs w:val="28"/>
        </w:rPr>
        <w:t>Херсон: ХДУ, 2019. С. 50-54.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Alexander L.G. Longman English Grammar Practice.  </w:t>
      </w:r>
      <w:r>
        <w:rPr>
          <w:color w:val="000000"/>
          <w:sz w:val="28"/>
          <w:szCs w:val="28"/>
        </w:rPr>
        <w:t>Harlow : Longman, 2009. 361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Collins W. English Grammar. Helping Learners with Real English. </w:t>
      </w:r>
      <w:r>
        <w:rPr>
          <w:color w:val="000000"/>
          <w:sz w:val="28"/>
          <w:szCs w:val="28"/>
        </w:rPr>
        <w:t>HarperCollins Publishers, 2000.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Evans Virginia. CPE Use of English. Level: Proficiency. CEF Level : C2. </w:t>
      </w:r>
      <w:r>
        <w:rPr>
          <w:color w:val="000000"/>
          <w:sz w:val="28"/>
          <w:szCs w:val="28"/>
        </w:rPr>
        <w:t>Express Publishing, 2005. 405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“Yes” &amp; “No”: epistemic modality or memory of meaning? </w:t>
      </w:r>
      <w:r>
        <w:rPr>
          <w:i/>
          <w:color w:val="000000"/>
          <w:sz w:val="28"/>
          <w:szCs w:val="28"/>
          <w:highlight w:val="white"/>
        </w:rPr>
        <w:t>Мова : науково-теоретичний часопис з мовознавства.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№ 22.</w:t>
      </w:r>
      <w:r>
        <w:rPr>
          <w:color w:val="000000"/>
          <w:sz w:val="28"/>
          <w:szCs w:val="28"/>
          <w:highlight w:val="white"/>
        </w:rPr>
        <w:t xml:space="preserve"> Одеса: Астропринт", 2014. С. 107-113.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Elementary Structure of Predication as the basic determiner of the sentence grammatical status. </w:t>
      </w:r>
      <w:r>
        <w:rPr>
          <w:i/>
          <w:color w:val="000000"/>
          <w:sz w:val="28"/>
          <w:szCs w:val="28"/>
          <w:lang w:val="en-US"/>
        </w:rPr>
        <w:t>Modern researches in philological sciences : Collective monograph.</w:t>
      </w:r>
      <w:r>
        <w:rPr>
          <w:color w:val="000000"/>
          <w:sz w:val="28"/>
          <w:szCs w:val="28"/>
          <w:lang w:val="en-US"/>
        </w:rPr>
        <w:t xml:space="preserve"> Riga : Izdevnieciba “Baltija Publishing”, 2020. </w:t>
      </w:r>
      <w:r>
        <w:rPr>
          <w:color w:val="000000"/>
          <w:sz w:val="28"/>
          <w:szCs w:val="28"/>
        </w:rPr>
        <w:t>P. 200-217.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Stepanenko O. The Use of the Non-Finites 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2021. 237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1 : Modal Verbs: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 : Освіта України, 2021. 242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2 : Moods: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 : Освіта України, 2022. 217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New Language Leader Advanced  Coursebook. </w:t>
      </w:r>
      <w:r>
        <w:rPr>
          <w:sz w:val="28"/>
          <w:szCs w:val="28"/>
        </w:rPr>
        <w:t>Pearson Education Limited, 2015. 185 p.</w:t>
      </w:r>
    </w:p>
    <w:p>
      <w:pPr>
        <w:pStyle w:val="6"/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O'Dell F., McCarthy M. English Idioms in Use. Advanced. 2nd Edition. Cambridge University Press, 2017. </w:t>
      </w:r>
      <w:r>
        <w:rPr>
          <w:color w:val="000000"/>
          <w:sz w:val="28"/>
          <w:szCs w:val="28"/>
        </w:rPr>
        <w:t>182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Swan M. Practical English grammar. </w:t>
      </w:r>
      <w:r>
        <w:rPr>
          <w:sz w:val="28"/>
          <w:szCs w:val="28"/>
        </w:rPr>
        <w:t>Ldn. : Collins Ed., 2010. 341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Thomson A. J., Martinet A. V. A Practical English Grammar. N. –Y. : Oxford University Press, 2004. </w:t>
      </w:r>
      <w:r>
        <w:rPr>
          <w:color w:val="000000"/>
          <w:sz w:val="28"/>
          <w:szCs w:val="28"/>
        </w:rPr>
        <w:t>452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Crystal D. The Cambridge Encyclopedia of the English Language. Cambridge University Press; 7th edition. </w:t>
      </w:r>
      <w:r>
        <w:rPr>
          <w:color w:val="000000"/>
          <w:sz w:val="28"/>
          <w:szCs w:val="28"/>
        </w:rPr>
        <w:t xml:space="preserve">2019. 506 p.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Oxford Advanced Learner’s Dictionary. Oxford: Oxford  University Press, 2015. </w:t>
      </w:r>
      <w:r>
        <w:rPr>
          <w:color w:val="000000"/>
          <w:sz w:val="28"/>
          <w:szCs w:val="28"/>
        </w:rPr>
        <w:t>1820 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Електронні інформаційні ресурси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both"/>
        <w:rPr>
          <w:color w:val="000000"/>
          <w:sz w:val="28"/>
          <w:szCs w:val="28"/>
        </w:rPr>
      </w:pP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Britannica. </w:t>
      </w:r>
      <w:r>
        <w:rPr>
          <w:sz w:val="28"/>
          <w:szCs w:val="28"/>
        </w:rPr>
        <w:t xml:space="preserve">URL: </w:t>
      </w:r>
      <w:r>
        <w:fldChar w:fldCharType="begin"/>
      </w:r>
      <w:r>
        <w:instrText xml:space="preserve"> HYPERLINK "https://www.britannica.com" </w:instrText>
      </w:r>
      <w:r>
        <w:fldChar w:fldCharType="separate"/>
      </w:r>
      <w:r>
        <w:rPr>
          <w:rStyle w:val="4"/>
          <w:sz w:val="28"/>
          <w:szCs w:val="28"/>
        </w:rPr>
        <w:t>https://www.britannica.com</w:t>
      </w:r>
      <w:r>
        <w:rPr>
          <w:rStyle w:val="4"/>
          <w:sz w:val="28"/>
          <w:szCs w:val="28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"https://www.davidcrystal.com/"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https://www.davidcrystal.com/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URL: </w:t>
      </w:r>
      <w:r>
        <w:fldChar w:fldCharType="begin"/>
      </w:r>
      <w:r>
        <w:instrText xml:space="preserve"> HYPERLINK "https://georgelakoff.com/" </w:instrText>
      </w:r>
      <w:r>
        <w:fldChar w:fldCharType="separate"/>
      </w:r>
      <w:r>
        <w:rPr>
          <w:rStyle w:val="4"/>
          <w:sz w:val="28"/>
          <w:szCs w:val="28"/>
        </w:rPr>
        <w:t>https://georgelakoff.com/</w:t>
      </w:r>
      <w:r>
        <w:rPr>
          <w:rStyle w:val="4"/>
          <w:sz w:val="28"/>
          <w:szCs w:val="28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"https://www.ted.com/"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https://www.ted.com/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English File Student’s Site. URL: </w:t>
      </w:r>
      <w:r>
        <w:fldChar w:fldCharType="begin"/>
      </w:r>
      <w:r>
        <w:instrText xml:space="preserve"> HYPERLINK "https://www.oup.com/elt/englishfile"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https://www.oup.com/elt/englishfile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Merriam-Webster. URL: </w:t>
      </w:r>
      <w:r>
        <w:fldChar w:fldCharType="begin"/>
      </w:r>
      <w:r>
        <w:instrText xml:space="preserve"> HYPERLINK "https://www.merriam-webster.com"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https://www.merriam-webster.com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Oxford Collocation Dictionary. URL: </w:t>
      </w:r>
      <w:r>
        <w:fldChar w:fldCharType="begin"/>
      </w:r>
      <w:r>
        <w:instrText xml:space="preserve"> HYPERLINK "http://www.freecollocation.com"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http://www.freecollocation.com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British Council. Learn English. URL: </w:t>
      </w:r>
      <w:r>
        <w:fldChar w:fldCharType="begin"/>
      </w:r>
      <w:r>
        <w:instrText xml:space="preserve"> HYPERLINK "https://learnenglish.britishcouncil.org/"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https://learnenglish.britishcouncil.org/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hanging="360"/>
        <w:jc w:val="center"/>
        <w:rPr>
          <w:lang w:val="uk-UA"/>
        </w:rPr>
      </w:pPr>
      <w:r>
        <w:rPr>
          <w:sz w:val="28"/>
          <w:szCs w:val="28"/>
          <w:lang w:val="en-US"/>
        </w:rPr>
        <w:t xml:space="preserve">Talk English. URL: </w:t>
      </w:r>
      <w:r>
        <w:fldChar w:fldCharType="begin"/>
      </w:r>
      <w:r>
        <w:instrText xml:space="preserve"> HYPERLINK "https://www.talkenglish.com/instruction.aspx"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https://www.talkenglish.com/instruction.aspx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ОЦІНЮВАННЯ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першому семестрі у ході поточного контролю здобувач вищої освіти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одержати відповідну кількість залікових балів із дисципліни.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 ході підсумкового контролю в другому та третьому семестрах відповідь під час екзамену за кожним аспектом теж оцінюється за 100-бальною шкалою. Протягом іспиту загальна оцінка з навчальної дисципліни – це є середнє арифметичне балів за поточний контроль та підсумковий контроль.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9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85"/>
        <w:gridCol w:w="506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5" w:type="dxa"/>
            <w:gridSpan w:val="21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Поточний контроль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ind w:left="113" w:right="113"/>
              <w:rPr>
                <w:b/>
                <w:color w:val="00000A"/>
              </w:rPr>
            </w:pPr>
            <w:r>
              <w:rPr>
                <w:color w:val="00000A"/>
              </w:rPr>
              <w:t>Загальна  оцінка</w:t>
            </w:r>
          </w:p>
          <w:p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95" w:type="dxa"/>
            <w:gridSpan w:val="10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Змістовий модуль №1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</w:tc>
        <w:tc>
          <w:tcPr>
            <w:tcW w:w="2551" w:type="dxa"/>
            <w:gridSpan w:val="6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№2</w:t>
            </w:r>
          </w:p>
        </w:tc>
        <w:tc>
          <w:tcPr>
            <w:tcW w:w="2409" w:type="dxa"/>
            <w:gridSpan w:val="5"/>
          </w:tcPr>
          <w:p>
            <w:pPr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№3</w:t>
            </w:r>
          </w:p>
        </w:tc>
        <w:tc>
          <w:tcPr>
            <w:tcW w:w="568" w:type="dxa"/>
            <w:vMerge w:val="continue"/>
          </w:tcPr>
          <w:p>
            <w:pPr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2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9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Т7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Т8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Т9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8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50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 5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22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9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8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0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</w:tr>
    </w:tbl>
    <w:p>
      <w:pPr>
        <w:tabs>
          <w:tab w:val="left" w:pos="708"/>
        </w:tabs>
        <w:jc w:val="center"/>
        <w:rPr>
          <w:b/>
          <w:color w:val="00000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lang w:val="en-US"/>
        </w:rPr>
        <w:t xml:space="preserve">II </w:t>
      </w:r>
      <w:r>
        <w:rPr>
          <w:b/>
          <w:color w:val="000000"/>
          <w:sz w:val="28"/>
          <w:szCs w:val="28"/>
        </w:rPr>
        <w:t>семестр</w:t>
      </w:r>
    </w:p>
    <w:p>
      <w:pPr>
        <w:numPr>
          <w:ilvl w:val="0"/>
          <w:numId w:val="4"/>
        </w:numPr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Style w:val="3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57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за національною шкалою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зараховано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</w:tabs>
        <w:spacing w:line="259" w:lineRule="auto"/>
        <w:jc w:val="right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jc w:val="center"/>
        <w:rPr>
          <w:color w:val="000000"/>
          <w:sz w:val="28"/>
          <w:szCs w:val="28"/>
        </w:rPr>
      </w:pPr>
    </w:p>
    <w:p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Поточний контроль: оцінювання усних відповідей під час практичних занять, оцінювання завдань, що виносяться на самостійне опрацювання. 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Підсумковий контроль: н</w:t>
      </w:r>
      <w:r>
        <w:rPr>
          <w:color w:val="000000"/>
          <w:sz w:val="28"/>
          <w:szCs w:val="28"/>
        </w:rPr>
        <w:t xml:space="preserve">априкінці першого семестру проводиться залік, другого та третього семестрів − іспит. </w:t>
      </w:r>
    </w:p>
    <w:p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 w:eastAsia="uk-UA"/>
        </w:rPr>
      </w:pPr>
    </w:p>
    <w:p>
      <w:pPr>
        <w:pStyle w:val="7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>
      <w:pPr>
        <w:rPr>
          <w:rFonts w:eastAsia="Calibri"/>
          <w:b/>
          <w:bCs/>
          <w:color w:val="000080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ПОЛІТИКА  КУРСУ</w:t>
      </w:r>
    </w:p>
    <w:p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r>
        <w:fldChar w:fldCharType="begin"/>
      </w:r>
      <w:r>
        <w:instrText xml:space="preserve"> HYPERLINK "http://onu.edu.ua/pub/bank/userfiles/files/documents/polozennya/poloz-org-kontrol.pdf" </w:instrText>
      </w:r>
      <w:r>
        <w:fldChar w:fldCharType="separate"/>
      </w:r>
      <w:r>
        <w:rPr>
          <w:rStyle w:val="4"/>
          <w:i/>
          <w:color w:val="auto"/>
          <w:sz w:val="27"/>
          <w:szCs w:val="27"/>
          <w:u w:val="none"/>
          <w:lang w:val="uk-UA"/>
        </w:rPr>
        <w:t>Положення про організацію і проведення контролю результатів навчання здобувачів вищої освіти ОНУі І.І. Мечникова (2020 р.)</w:t>
      </w:r>
      <w:r>
        <w:rPr>
          <w:rStyle w:val="4"/>
          <w:i/>
          <w:color w:val="auto"/>
          <w:sz w:val="27"/>
          <w:szCs w:val="27"/>
          <w:u w:val="none"/>
          <w:lang w:val="uk-UA"/>
        </w:rPr>
        <w:fldChar w:fldCharType="end"/>
      </w:r>
      <w:r>
        <w:rPr>
          <w:i/>
          <w:sz w:val="27"/>
          <w:szCs w:val="27"/>
          <w:lang w:val="uk-UA"/>
        </w:rPr>
        <w:t xml:space="preserve"> </w:t>
      </w:r>
      <w:r>
        <w:fldChar w:fldCharType="begin"/>
      </w:r>
      <w:r>
        <w:instrText xml:space="preserve"> HYPERLINK "http://onu.edu.ua/pub/bank/userfiles/files/documents/polozennya/poloz-org-kontrol_2022.pdf" </w:instrText>
      </w:r>
      <w:r>
        <w:fldChar w:fldCharType="separate"/>
      </w:r>
      <w:r>
        <w:rPr>
          <w:rStyle w:val="4"/>
          <w:i/>
          <w:sz w:val="27"/>
          <w:szCs w:val="27"/>
          <w:lang w:val="en-US"/>
        </w:rPr>
        <w:t>http</w:t>
      </w:r>
      <w:r>
        <w:rPr>
          <w:rStyle w:val="4"/>
          <w:i/>
          <w:sz w:val="27"/>
          <w:szCs w:val="27"/>
          <w:lang w:val="uk-UA"/>
        </w:rPr>
        <w:t>://</w:t>
      </w:r>
      <w:r>
        <w:rPr>
          <w:rStyle w:val="4"/>
          <w:i/>
          <w:sz w:val="27"/>
          <w:szCs w:val="27"/>
          <w:lang w:val="en-US"/>
        </w:rPr>
        <w:t>onu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edu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ua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pub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bank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userfiles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documents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polozennya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org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kontrol</w:t>
      </w:r>
      <w:r>
        <w:rPr>
          <w:rStyle w:val="4"/>
          <w:i/>
          <w:sz w:val="27"/>
          <w:szCs w:val="27"/>
          <w:lang w:val="uk-UA"/>
        </w:rPr>
        <w:t>_2022.</w:t>
      </w:r>
      <w:r>
        <w:rPr>
          <w:rStyle w:val="4"/>
          <w:i/>
          <w:sz w:val="27"/>
          <w:szCs w:val="27"/>
          <w:lang w:val="en-US"/>
        </w:rPr>
        <w:t>pdf</w:t>
      </w:r>
      <w:r>
        <w:rPr>
          <w:rStyle w:val="4"/>
          <w:i/>
          <w:sz w:val="27"/>
          <w:szCs w:val="27"/>
          <w:lang w:val="en-US"/>
        </w:rPr>
        <w:fldChar w:fldCharType="end"/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>Порядок та умови такого навчання регламентуються Положення</w:t>
      </w:r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організацію освітнього процесу в ОНУ </w:t>
      </w:r>
    </w:p>
    <w:p>
      <w:pPr>
        <w:ind w:firstLine="708"/>
        <w:jc w:val="both"/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75967"/>
    <w:multiLevelType w:val="multilevel"/>
    <w:tmpl w:val="09275967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620CD5"/>
    <w:multiLevelType w:val="multilevel"/>
    <w:tmpl w:val="20620CD5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4DB43049"/>
    <w:multiLevelType w:val="multilevel"/>
    <w:tmpl w:val="4DB43049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59C353B8"/>
    <w:multiLevelType w:val="multilevel"/>
    <w:tmpl w:val="59C353B8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3"/>
    <w:rsid w:val="00044963"/>
    <w:rsid w:val="00124FC8"/>
    <w:rsid w:val="002C5422"/>
    <w:rsid w:val="00466E91"/>
    <w:rsid w:val="004A244D"/>
    <w:rsid w:val="00540CFA"/>
    <w:rsid w:val="005B3684"/>
    <w:rsid w:val="006A1592"/>
    <w:rsid w:val="00823A5F"/>
    <w:rsid w:val="009B4DF3"/>
    <w:rsid w:val="00A57EC6"/>
    <w:rsid w:val="00AD54E3"/>
    <w:rsid w:val="00B8313A"/>
    <w:rsid w:val="00C0021C"/>
    <w:rsid w:val="00C31E23"/>
    <w:rsid w:val="00C651A7"/>
    <w:rsid w:val="00D71DE8"/>
    <w:rsid w:val="00DA2921"/>
    <w:rsid w:val="00E36852"/>
    <w:rsid w:val="25902C01"/>
    <w:rsid w:val="570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3111</Words>
  <Characters>17734</Characters>
  <Lines>147</Lines>
  <Paragraphs>41</Paragraphs>
  <TotalTime>2</TotalTime>
  <ScaleCrop>false</ScaleCrop>
  <LinksUpToDate>false</LinksUpToDate>
  <CharactersWithSpaces>20804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2023-09-14T11:39:00Z</dcterms:created>
  <dc:creator>User</dc:creator>
  <cp:lastModifiedBy>LV</cp:lastModifiedBy>
  <dcterms:modified xsi:type="dcterms:W3CDTF">2024-05-23T06:07:53Z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DC3906D089A246559FAE791A1EF3E3F9</vt:lpwstr>
  </property>
</Properties>
</file>