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sz w:val="27"/>
          <w:szCs w:val="27"/>
          <w:lang w:val="ru-RU"/>
        </w:rPr>
      </w:pPr>
      <w:r>
        <w:rPr>
          <w:rFonts w:ascii="Times New Roman" w:hAnsi="Times New Roman" w:eastAsia="Calibri" w:cs="Times New Roman"/>
          <w:sz w:val="27"/>
          <w:szCs w:val="27"/>
          <w:lang w:val="ru-RU"/>
        </w:rPr>
        <w:t>МІНІСТЕРСТВО ОСВІТИ І НАУКИ УКРАЇНИ</w:t>
      </w:r>
    </w:p>
    <w:p>
      <w:pPr>
        <w:spacing w:after="0" w:line="240" w:lineRule="auto"/>
        <w:ind w:right="-171"/>
        <w:jc w:val="center"/>
        <w:rPr>
          <w:rFonts w:ascii="Times New Roman" w:hAnsi="Times New Roman" w:eastAsia="Calibri" w:cs="Times New Roman"/>
          <w:sz w:val="27"/>
          <w:szCs w:val="27"/>
          <w:lang w:val="ru-RU"/>
        </w:rPr>
      </w:pPr>
      <w:r>
        <w:rPr>
          <w:rFonts w:ascii="Times New Roman" w:hAnsi="Times New Roman" w:eastAsia="Calibri" w:cs="Times New Roman"/>
          <w:sz w:val="27"/>
          <w:szCs w:val="27"/>
          <w:lang w:val="ru-RU"/>
        </w:rPr>
        <w:t>ОДЕСЬКИЙ НАЦІОНАЛЬНИЙ УНІВЕРСИТЕТ імені І.</w:t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> </w:t>
      </w:r>
      <w:r>
        <w:rPr>
          <w:rFonts w:ascii="Times New Roman" w:hAnsi="Times New Roman" w:eastAsia="Calibri" w:cs="Times New Roman"/>
          <w:sz w:val="27"/>
          <w:szCs w:val="27"/>
          <w:lang w:val="ru-RU"/>
        </w:rPr>
        <w:t>І. МЕЧНИКОВА</w:t>
      </w:r>
    </w:p>
    <w:tbl>
      <w:tblPr>
        <w:tblStyle w:val="5"/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796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20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>КАФЕДРА ІСПАНСЬКОЇ ФІЛОЛОГІЇ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 xml:space="preserve">СИЛАБУС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ПЕРЕДДИПЛОМНОЇ ПРАКТИКИ</w:t>
            </w:r>
          </w:p>
          <w:p>
            <w:pPr>
              <w:spacing w:after="0" w:line="240" w:lineRule="auto"/>
              <w:ind w:left="-108" w:right="-1242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ind w:left="884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color w:val="FF0000"/>
          <w:sz w:val="27"/>
          <w:szCs w:val="27"/>
          <w:lang w:val="uk-UA"/>
        </w:rPr>
      </w:pPr>
    </w:p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Рівень вищої освіти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lang w:val="uk-UA"/>
              </w:rPr>
              <w:t>другий (магістерський)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Спеціальність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>035.0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lang w:val="ru-RU"/>
              </w:rPr>
              <w:t>51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ru-RU"/>
              </w:rPr>
              <w:t>Ро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>манські мови та літератури (переклад включно), перша – і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ru-RU"/>
              </w:rPr>
              <w:t>спанс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 xml:space="preserve">ька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>«Романські мови та літератури (переклад включно), перша – іспанська»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, р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ік навчання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iCs/>
                <w:sz w:val="27"/>
                <w:szCs w:val="27"/>
                <w:lang w:val="uk-UA"/>
              </w:rPr>
              <w:t>3 семестр 2 рік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Статус дисципліни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lang w:val="ru-RU"/>
              </w:rPr>
              <w:t>Обов</w:t>
            </w:r>
            <w:r>
              <w:rPr>
                <w:rFonts w:ascii="Times New Roman" w:hAnsi="Times New Roman" w:eastAsia="Calibri" w:cs="Times New Roman"/>
                <w:sz w:val="28"/>
              </w:rPr>
              <w:t>’</w:t>
            </w:r>
            <w:r>
              <w:rPr>
                <w:rFonts w:ascii="Times New Roman" w:hAnsi="Times New Roman" w:eastAsia="Calibri" w:cs="Times New Roman"/>
                <w:sz w:val="28"/>
                <w:lang w:val="uk-UA"/>
              </w:rPr>
              <w:t>язкова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Обсяг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ascii="Times New Roman" w:hAnsi="Times New Roman" w:eastAsia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hAnsi="Times New Roman" w:eastAsia="Times New Roman" w:cs="Times New Roman"/>
                <w:iCs/>
                <w:sz w:val="27"/>
                <w:szCs w:val="27"/>
                <w:lang w:val="uk-UA"/>
              </w:rPr>
              <w:t>, 90 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Іспанська, українська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, час, місце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Викладач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юдмила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ївна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КО, кандидат філологічних наук,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кафедри ісп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анської філології</w:t>
            </w:r>
          </w:p>
          <w:p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 Григорович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педагогічних наук, доцент кафедри іспанської філології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HYPERLINK "mailto:n.golubenko@onu.edu.ua" </w:instrText>
            </w:r>
            <w:r>
              <w:rPr>
                <w:color w:val="0000FF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lang w:val="es-ES"/>
              </w:rPr>
              <w:t>l.gry</w:t>
            </w:r>
            <w:r>
              <w:rPr>
                <w:rStyle w:val="4"/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</w:rPr>
              <w:t>nk</w:t>
            </w:r>
            <w:r>
              <w:rPr>
                <w:rStyle w:val="4"/>
                <w:rFonts w:hint="default" w:ascii="Times New Roman" w:hAnsi="Times New Roman" w:cs="Times New Roman"/>
                <w:color w:val="0000FF"/>
                <w:sz w:val="28"/>
                <w:szCs w:val="28"/>
              </w:rPr>
              <w:t>o</w:t>
            </w:r>
            <w:r>
              <w:rPr>
                <w:rStyle w:val="4"/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@</w:t>
            </w:r>
            <w:r>
              <w:rPr>
                <w:rStyle w:val="4"/>
                <w:rFonts w:ascii="Times New Roman" w:hAnsi="Times New Roman" w:cs="Times New Roman"/>
                <w:color w:val="0000FF"/>
                <w:sz w:val="28"/>
                <w:szCs w:val="28"/>
              </w:rPr>
              <w:t>onu</w:t>
            </w:r>
            <w:r>
              <w:rPr>
                <w:rStyle w:val="4"/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.</w:t>
            </w:r>
            <w:r>
              <w:rPr>
                <w:rStyle w:val="4"/>
                <w:rFonts w:ascii="Times New Roman" w:hAnsi="Times New Roman" w:cs="Times New Roman"/>
                <w:color w:val="0000FF"/>
                <w:sz w:val="28"/>
                <w:szCs w:val="28"/>
              </w:rPr>
              <w:t>edu</w:t>
            </w:r>
            <w:r>
              <w:rPr>
                <w:rStyle w:val="4"/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.</w:t>
            </w:r>
            <w:r>
              <w:rPr>
                <w:rStyle w:val="4"/>
                <w:rFonts w:ascii="Times New Roman" w:hAnsi="Times New Roman" w:cs="Times New Roman"/>
                <w:color w:val="0000FF"/>
                <w:sz w:val="28"/>
                <w:szCs w:val="28"/>
              </w:rPr>
              <w:t>ua</w:t>
            </w:r>
            <w:r>
              <w:rPr>
                <w:rStyle w:val="4"/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  <w:r>
              <w:rPr>
                <w:rStyle w:val="4"/>
                <w:rFonts w:hint="default" w:ascii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  <w:lang w:val="uk-UA"/>
              </w:rPr>
              <w:t>(ГринькоЛ.В.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instrText xml:space="preserve"> HYPERLINK "mailto:elenavarenik@hotmail.com" </w:instrTex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val="en-US"/>
              </w:rPr>
              <w:t>elenavarenik@hotmail.com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  <w:lang w:val="uk-UA"/>
              </w:rPr>
              <w:t>(Григорович О.В.)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>кафедра іспанської філології (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val="uk-UA"/>
              </w:rPr>
              <w:t>ауд. 1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val="uk-UA"/>
              </w:rPr>
              <w:t>63-В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val="uk-U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  <w:t xml:space="preserve">Zoom, </w:t>
            </w:r>
            <w:r>
              <w:rPr>
                <w:rFonts w:ascii="Times New Roman" w:hAnsi="Times New Roman" w:eastAsia="Calibri" w:cs="Times New Roman"/>
                <w:sz w:val="27"/>
                <w:szCs w:val="27"/>
              </w:rPr>
              <w:t>Skype</w:t>
            </w:r>
            <w:r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FF"/>
                <w:sz w:val="28"/>
                <w:szCs w:val="28"/>
                <w:u w:val="singl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"Додаток до розкладу занять факультету РГФ.docx" \l "OLE_LINK28_x0009_1,12484,12583,0,,_x0013_ HYPERLINK 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sz w:val="28"/>
                <w:szCs w:val="28"/>
                <w:u w:val="single"/>
              </w:rPr>
              <w:t>https://join.skype.com/KIfPyisD4d76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7"/>
          <w:szCs w:val="27"/>
          <w:lang w:val="uk-UA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7"/>
          <w:szCs w:val="27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Calibri" w:cs="Times New Roman"/>
          <w:b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b/>
          <w:sz w:val="27"/>
          <w:szCs w:val="27"/>
          <w:lang w:val="uk-UA"/>
        </w:rPr>
        <w:t>АНОТАЦІЯ КУРСУ</w:t>
      </w:r>
    </w:p>
    <w:p>
      <w:pPr>
        <w:pStyle w:val="6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Метою</w:t>
      </w:r>
      <w:r>
        <w:rPr>
          <w:sz w:val="28"/>
          <w:szCs w:val="28"/>
        </w:rPr>
        <w:t xml:space="preserve"> переддипломної практики є набуття здобувачем вищої освіти професійних навичок і вмінь, дослідницьких навиків роботи з науковою літературою, формування практичних навичок та майстерності організації, реалізації та презентації результатів науково-дослідної роботи в галузі філології, формування загальних і фахових компетентностей здобувачів вищої освіти, закріплення теоретичних знань, отриманих за час навчання, набуття і удосконалення практичних навичок і умінь.</w:t>
      </w:r>
    </w:p>
    <w:p>
      <w:pPr>
        <w:pStyle w:val="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Основні</w:t>
      </w:r>
      <w:r>
        <w:rPr>
          <w:b/>
          <w:sz w:val="28"/>
          <w:szCs w:val="28"/>
        </w:rPr>
        <w:t xml:space="preserve"> завдання</w:t>
      </w:r>
      <w:r>
        <w:rPr>
          <w:sz w:val="28"/>
          <w:szCs w:val="28"/>
        </w:rPr>
        <w:t xml:space="preserve"> переддипломної практики: </w:t>
      </w:r>
    </w:p>
    <w:p>
      <w:pPr>
        <w:pStyle w:val="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поглибити філологічну підготовку студентів та закріпити навики науково-дослідницької роботи;</w:t>
      </w:r>
    </w:p>
    <w:p>
      <w:pPr>
        <w:pStyle w:val="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сформувати здатність здобувача вищої освіти до опрацювання та аналізу першоджерел;</w:t>
      </w:r>
    </w:p>
    <w:p>
      <w:pPr>
        <w:pStyle w:val="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сформувати у здобувача вищої освіти методику виконання науково-дослідної роботи;</w:t>
      </w:r>
    </w:p>
    <w:p>
      <w:pPr>
        <w:pStyle w:val="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ознайомити студента з широким різноманіттям наукових проблемних досліджень в галузі філології; </w:t>
      </w:r>
    </w:p>
    <w:p>
      <w:pPr>
        <w:pStyle w:val="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сприяти підготовці наукової доповіді та презентації власних досліджень;</w:t>
      </w:r>
    </w:p>
    <w:p>
      <w:pPr>
        <w:pStyle w:val="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розвинути творчий потенціал та креативність здобувача вищої освіти.</w:t>
      </w:r>
    </w:p>
    <w:p>
      <w:pPr>
        <w:pStyle w:val="6"/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Очікувані результати навчання. </w:t>
      </w:r>
      <w:r>
        <w:rPr>
          <w:sz w:val="28"/>
          <w:szCs w:val="28"/>
        </w:rPr>
        <w:t>У результаті проходження переддипломної практики здобувач вищої освіти повинен</w:t>
      </w:r>
    </w:p>
    <w:p>
      <w:pPr>
        <w:pStyle w:val="6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знати: </w:t>
      </w:r>
      <w:r>
        <w:rPr>
          <w:sz w:val="28"/>
          <w:szCs w:val="28"/>
        </w:rPr>
        <w:t>принципи академічної доброчесності; методи та джерела лінгвістичних досліджень; правила написання кваліфікаційної магістерської роботи; діючі правила бібліографічного опису; правила захисту кваліфікаційної магістерської роботи;</w:t>
      </w:r>
    </w:p>
    <w:p>
      <w:pPr>
        <w:pStyle w:val="6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вміти: </w:t>
      </w:r>
      <w:r>
        <w:rPr>
          <w:sz w:val="28"/>
          <w:szCs w:val="28"/>
        </w:rPr>
        <w:t>працювати з фаховою літературою; підготувати наукову доповідь та презентацію власних досліджень для захисту кваліфікаційної магістерської роботи; представити результати дослідження в усній та письмовій формах на належному академічному рівні; 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даних; накопичувати та аналізувати матеріал дослідження; оформлювати кваліфікаційну магістерську роботу відповідно до вимог.</w:t>
      </w:r>
    </w:p>
    <w:p>
      <w:pPr>
        <w:pStyle w:val="6"/>
        <w:ind w:firstLine="708"/>
        <w:jc w:val="both"/>
        <w:rPr>
          <w:sz w:val="28"/>
          <w:szCs w:val="28"/>
        </w:rPr>
      </w:pPr>
    </w:p>
    <w:p>
      <w:pPr>
        <w:spacing w:line="240" w:lineRule="auto"/>
        <w:ind w:firstLine="567"/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Зміст навчальної дисципліни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Підготовчий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етап</w:t>
      </w:r>
    </w:p>
    <w:p>
      <w:pPr>
        <w:pStyle w:val="7"/>
        <w:ind w:left="107" w:right="230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Настановна конференція</w:t>
      </w:r>
      <w:r>
        <w:rPr>
          <w:sz w:val="28"/>
          <w:szCs w:val="28"/>
        </w:rPr>
        <w:t>. Затвердження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графіку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проходження практики.</w:t>
      </w:r>
    </w:p>
    <w:p>
      <w:pPr>
        <w:pStyle w:val="7"/>
        <w:ind w:left="107" w:right="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модуль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Виконання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наукового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дослідження</w:t>
      </w:r>
    </w:p>
    <w:p>
      <w:pPr>
        <w:pStyle w:val="7"/>
        <w:ind w:left="107" w:right="230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Ознайомлення з вимогами до написання кваліфікаційної магістерської роботи та опрацювання сучасних наукових матеріалів за темою кваліфікаційної магістерської роботи</w:t>
      </w:r>
      <w:r>
        <w:rPr>
          <w:sz w:val="28"/>
          <w:szCs w:val="28"/>
        </w:rPr>
        <w:t>.</w:t>
      </w:r>
    </w:p>
    <w:p>
      <w:pPr>
        <w:pStyle w:val="7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Написання кваліфікаційної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 xml:space="preserve"> магістерської роботи.</w:t>
      </w:r>
    </w:p>
    <w:p>
      <w:pPr>
        <w:pStyle w:val="7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>
        <w:rPr>
          <w:sz w:val="28"/>
          <w:szCs w:val="28"/>
        </w:rPr>
        <w:t>Підготовка висновків з досліджуваної теми.</w:t>
      </w:r>
    </w:p>
    <w:p>
      <w:pPr>
        <w:pStyle w:val="7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>
        <w:rPr>
          <w:sz w:val="28"/>
          <w:szCs w:val="28"/>
        </w:rPr>
        <w:t>Оформлення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кваліфікаційної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магістерської роботи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вимог.</w:t>
      </w:r>
    </w:p>
    <w:p>
      <w:pPr>
        <w:pStyle w:val="7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>
        <w:rPr>
          <w:sz w:val="28"/>
          <w:szCs w:val="28"/>
        </w:rPr>
        <w:t>Написання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наукової праці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темою дослідження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(тези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доповіді/ наукова стаття).</w:t>
      </w:r>
    </w:p>
    <w:p>
      <w:pPr>
        <w:pStyle w:val="7"/>
        <w:spacing w:line="291" w:lineRule="exact"/>
        <w:ind w:left="1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модуль 3.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Заключний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етап</w:t>
      </w:r>
    </w:p>
    <w:p>
      <w:pPr>
        <w:pStyle w:val="7"/>
        <w:ind w:left="107" w:right="230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>
        <w:rPr>
          <w:sz w:val="28"/>
          <w:szCs w:val="28"/>
        </w:rPr>
        <w:t>. Підготовка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резюме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дослідження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іспанс</w:t>
      </w:r>
      <w:r>
        <w:rPr>
          <w:sz w:val="28"/>
          <w:szCs w:val="28"/>
        </w:rPr>
        <w:t>ькою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мовою.</w:t>
      </w:r>
    </w:p>
    <w:p>
      <w:pPr>
        <w:pStyle w:val="7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Попередній захист кваліфікаційної</w:t>
      </w:r>
      <w:r>
        <w:rPr>
          <w:spacing w:val="-63"/>
          <w:sz w:val="28"/>
          <w:szCs w:val="28"/>
        </w:rPr>
        <w:t xml:space="preserve">  </w:t>
      </w:r>
      <w:r>
        <w:rPr>
          <w:sz w:val="28"/>
          <w:szCs w:val="28"/>
        </w:rPr>
        <w:t xml:space="preserve"> магістерської роботи.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val="de-DE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Методи навчання</w:t>
      </w:r>
    </w:p>
    <w:p>
      <w:pPr>
        <w:pStyle w:val="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Загальний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інструктаж,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консультації,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обговорення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проблемних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питань, виконання індивідуальних завдань, самостійна робота з рекомендованою літературою та електронними джерелами, узагальнення та систематизація досліджених матеріалів.</w:t>
      </w:r>
    </w:p>
    <w:p>
      <w:pPr>
        <w:pStyle w:val="6"/>
        <w:ind w:firstLine="360"/>
        <w:jc w:val="both"/>
        <w:rPr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Рекомендована література</w:t>
      </w:r>
    </w:p>
    <w:p>
      <w:pPr>
        <w:jc w:val="center"/>
        <w:rPr>
          <w:rFonts w:ascii="Times New Roman" w:hAnsi="Times New Roman" w:eastAsia="Calibri" w:cs="Times New Roman"/>
          <w:b/>
          <w:bCs/>
          <w:sz w:val="28"/>
          <w:lang w:val="uk-UA"/>
        </w:rPr>
      </w:pPr>
      <w:r>
        <w:rPr>
          <w:rFonts w:ascii="Times New Roman" w:hAnsi="Times New Roman" w:eastAsia="Calibri" w:cs="Times New Roman"/>
          <w:b/>
          <w:bCs/>
          <w:sz w:val="28"/>
          <w:lang w:val="uk-UA"/>
        </w:rPr>
        <w:t>Основна</w:t>
      </w:r>
    </w:p>
    <w:p>
      <w:pPr>
        <w:pStyle w:val="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8302:2015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«Інформація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документація.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Бібліографічне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посилання.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Загальні</w:t>
      </w:r>
      <w:r>
        <w:rPr>
          <w:sz w:val="28"/>
          <w:szCs w:val="28"/>
        </w:rPr>
        <w:tab/>
      </w:r>
      <w:r>
        <w:rPr>
          <w:sz w:val="28"/>
          <w:szCs w:val="28"/>
        </w:rPr>
        <w:t>положення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>та</w:t>
      </w:r>
      <w:r>
        <w:rPr>
          <w:sz w:val="28"/>
          <w:szCs w:val="28"/>
        </w:rPr>
        <w:tab/>
      </w:r>
      <w:r>
        <w:rPr>
          <w:sz w:val="28"/>
          <w:szCs w:val="28"/>
        </w:rPr>
        <w:t>правила</w:t>
      </w:r>
      <w:r>
        <w:rPr>
          <w:sz w:val="28"/>
          <w:szCs w:val="28"/>
        </w:rPr>
        <w:tab/>
      </w:r>
      <w:r>
        <w:rPr>
          <w:sz w:val="28"/>
          <w:szCs w:val="28"/>
        </w:rPr>
        <w:t>складання».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URL:</w:t>
      </w:r>
      <w:r>
        <w:rPr>
          <w:spacing w:val="-63"/>
          <w:sz w:val="28"/>
          <w:szCs w:val="28"/>
        </w:rPr>
        <w:t xml:space="preserve"> </w:t>
      </w:r>
      <w:r>
        <w:fldChar w:fldCharType="begin"/>
      </w:r>
      <w:r>
        <w:instrText xml:space="preserve"> HYPERLINK "https://kubg.edu.ua/images/stories/podii/2017/06_21_posylannia/dstu_8302.pdf" </w:instrText>
      </w:r>
      <w:r>
        <w:fldChar w:fldCharType="separate"/>
      </w:r>
      <w:r>
        <w:rPr>
          <w:rStyle w:val="4"/>
          <w:sz w:val="28"/>
          <w:szCs w:val="28"/>
        </w:rPr>
        <w:t>https://kubg.edu.ua/images/stories/podii/2017/06_21_posylannia/dstu_8302.pdf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 .</w:t>
      </w:r>
    </w:p>
    <w:p>
      <w:pPr>
        <w:pStyle w:val="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Методологія та організація наукових досліджень (у структурно-логічних схемах та таблицях): навчальний посібник. Суми: СНАУ, 2020. 220 с.</w:t>
      </w:r>
    </w:p>
    <w:p>
      <w:pPr>
        <w:pStyle w:val="6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Положення про порядок проведення практики здобувачів вищої освіти Одеського національного університету імені І. І. Мечникова. URL: </w:t>
      </w:r>
      <w:r>
        <w:fldChar w:fldCharType="begin"/>
      </w:r>
      <w:r>
        <w:instrText xml:space="preserve"> HYPERLINK "https://onu.edu.ua/pub/bank/userfiles/files/documents/polozennya/polozennya-praktika/polozennya_praktika2022.pdf" </w:instrText>
      </w:r>
      <w:r>
        <w:fldChar w:fldCharType="separate"/>
      </w:r>
      <w:r>
        <w:rPr>
          <w:rStyle w:val="4"/>
          <w:sz w:val="28"/>
          <w:szCs w:val="28"/>
        </w:rPr>
        <w:t>https://onu.edu.ua/pub/bank/userfiles/files/documents/polozennya/polozennya-praktika/polozennya_praktika2022.pdf</w:t>
      </w:r>
      <w:r>
        <w:rPr>
          <w:rStyle w:val="4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.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  <w:lang w:val="ru-RU"/>
        </w:rPr>
        <w:t>Додаткова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1. Добронравова І. С., Руденко О. В., Сидоренко Л. І. Методологія та організація наукових досліджень : навч. посіб. Київ: ВПЦ "Київський університет", 2018. 607 с.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2. Ланге А., Cушко-Безденежних М. Г. Наукове писемне мовлення у вищій школі (практичні поради): навчальний посібник. Суми: Сумський державний університет, 2020. 322 с.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3. Семотюк О. Л. Сучасні технології лінгвістичних досліджень: навч. посіб. Львів: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Львівська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політехніка,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Оцінювання</w:t>
      </w:r>
    </w:p>
    <w:p>
      <w:pPr>
        <w:pStyle w:val="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Поточний контроль: контроль виконання окремих етапів переддипломної практики керівником практики. </w:t>
      </w:r>
    </w:p>
    <w:p>
      <w:pPr>
        <w:pStyle w:val="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Підсумковий контроль: попередній захист кваліфікаційної роботи.</w:t>
      </w:r>
    </w:p>
    <w:p>
      <w:pPr>
        <w:pStyle w:val="6"/>
        <w:ind w:firstLine="708"/>
        <w:jc w:val="both"/>
        <w:rPr>
          <w:sz w:val="28"/>
          <w:szCs w:val="28"/>
        </w:rPr>
        <w:sectPr>
          <w:pgSz w:w="11910" w:h="16840"/>
          <w:pgMar w:top="1020" w:right="320" w:bottom="280" w:left="1240" w:header="742" w:footer="0" w:gutter="0"/>
          <w:cols w:space="720" w:num="1"/>
        </w:sectPr>
      </w:pPr>
      <w:r>
        <w:rPr>
          <w:sz w:val="28"/>
          <w:szCs w:val="28"/>
        </w:rPr>
        <w:t>У ході поточного контролю студент може отримати максимальну оцінку (100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балів) за кожний змістовий модуль. Захист звіту (попередній захист кваліфікаційної магістерської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також оцінюється за 100-бальною шкалою. Загальна оцінка з переддипломної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практики – це середнє арифметичне суми балів за поточний контроль та підсумковий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контроль.</w:t>
      </w:r>
    </w:p>
    <w:p>
      <w:pPr>
        <w:widowControl w:val="0"/>
        <w:jc w:val="both"/>
        <w:rPr>
          <w:rFonts w:ascii="Times New Roman" w:hAnsi="Times New Roman" w:eastAsia="Calibri" w:cs="Times New Roman"/>
          <w:sz w:val="28"/>
          <w:lang w:val="ru-RU"/>
        </w:rPr>
      </w:pPr>
    </w:p>
    <w:p>
      <w:pPr>
        <w:widowControl w:val="0"/>
        <w:ind w:firstLine="567"/>
        <w:jc w:val="both"/>
        <w:rPr>
          <w:rFonts w:ascii="Times New Roman" w:hAnsi="Times New Roman" w:eastAsia="Calibri" w:cs="Times New Roman"/>
          <w:sz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b/>
          <w:sz w:val="27"/>
          <w:szCs w:val="27"/>
          <w:lang w:val="uk-UA"/>
        </w:rPr>
        <w:t>ПОЛІТИКА КУРСУ</w:t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>(«правила гри»)</w:t>
      </w:r>
    </w:p>
    <w:p>
      <w:pPr>
        <w:spacing w:after="0" w:line="240" w:lineRule="auto"/>
        <w:rPr>
          <w:rFonts w:ascii="Times New Roman" w:hAnsi="Times New Roman" w:eastAsia="Calibri" w:cs="Times New Roman"/>
          <w:sz w:val="27"/>
          <w:szCs w:val="27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ab/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i/>
          <w:sz w:val="27"/>
          <w:szCs w:val="27"/>
          <w:lang w:val="uk-UA"/>
        </w:rPr>
        <w:t>Дедлайни та перескладання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ab/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/documents/polozennya/poloz-org-kontrol_2022.pdf)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i/>
          <w:sz w:val="27"/>
          <w:szCs w:val="27"/>
          <w:lang w:val="uk-UA"/>
        </w:rPr>
        <w:t>Комунікація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ab/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>Всі робочі оголошення надсилаються на чат академгрупи у Telegram/</w:t>
      </w:r>
      <w:r>
        <w:rPr>
          <w:rFonts w:ascii="Times New Roman" w:hAnsi="Times New Roman" w:eastAsia="Calibri" w:cs="Times New Roman"/>
          <w:sz w:val="27"/>
          <w:szCs w:val="27"/>
        </w:rPr>
        <w:t>Viber</w:t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>
      <w:pPr>
        <w:rPr>
          <w:rFonts w:ascii="Times New Roman" w:hAnsi="Times New Roman" w:eastAsia="Calibri" w:cs="Times New Roman"/>
          <w:sz w:val="28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EE19B5"/>
    <w:multiLevelType w:val="multilevel"/>
    <w:tmpl w:val="32EE19B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85EB0"/>
    <w:multiLevelType w:val="multilevel"/>
    <w:tmpl w:val="63B85EB0"/>
    <w:lvl w:ilvl="0" w:tentative="0">
      <w:start w:val="2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00000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7143E"/>
    <w:rsid w:val="2A8F258F"/>
    <w:rsid w:val="2C0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5">
    <w:name w:val="Сетка таблицы1"/>
    <w:basedOn w:val="3"/>
    <w:qFormat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uk-UA" w:eastAsia="ru-RU" w:bidi="ar-SA"/>
    </w:rPr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468"/>
    </w:pPr>
    <w:rPr>
      <w:rFonts w:ascii="Times New Roman" w:hAnsi="Times New Roman" w:eastAsia="Times New Roman" w:cs="Times New Roman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2024-05-15T16:12:00Z</dcterms:created>
  <dc:creator>Ludmila Grynko</dc:creator>
  <cp:lastModifiedBy>LV</cp:lastModifiedBy>
  <dcterms:modified xsi:type="dcterms:W3CDTF">2024-05-15T16:27:22Z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887E95B4090B41F0A0E1105CFB9A7D37</vt:lpwstr>
  </property>
</Properties>
</file>