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826B7" w:rsidRDefault="000826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f0"/>
        <w:tblW w:w="10364" w:type="dxa"/>
        <w:tblLayout w:type="fixed"/>
        <w:tblLook w:val="0000" w:firstRow="0" w:lastRow="0" w:firstColumn="0" w:lastColumn="0" w:noHBand="0" w:noVBand="0"/>
      </w:tblPr>
      <w:tblGrid>
        <w:gridCol w:w="2143"/>
        <w:gridCol w:w="8221"/>
      </w:tblGrid>
      <w:tr w:rsidR="00DF4094">
        <w:trPr>
          <w:cantSplit/>
          <w:trHeight w:val="839"/>
        </w:trPr>
        <w:tc>
          <w:tcPr>
            <w:tcW w:w="2143" w:type="dxa"/>
            <w:vMerge w:val="restart"/>
            <w:tcBorders>
              <w:right w:val="single" w:sz="8" w:space="0" w:color="800000"/>
            </w:tcBorders>
          </w:tcPr>
          <w:p w:rsidR="00DF4094" w:rsidRDefault="00DF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094" w:rsidRDefault="00DF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8" w:space="0" w:color="8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CИЛАБУС</w:t>
            </w:r>
          </w:p>
          <w:p w:rsidR="00DF4094" w:rsidRPr="00AC6480" w:rsidRDefault="00AC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480">
              <w:rPr>
                <w:rFonts w:ascii="Times New Roman" w:hAnsi="Times New Roman" w:cs="Times New Roman"/>
                <w:b/>
                <w:sz w:val="24"/>
                <w:szCs w:val="24"/>
              </w:rPr>
              <w:t>ОК 8 «</w:t>
            </w:r>
            <w:r w:rsidRPr="00AC648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Основи векторного та тензорного аналізу </w:t>
            </w:r>
            <w:r w:rsidRPr="00AC64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4094">
        <w:trPr>
          <w:cantSplit/>
          <w:trHeight w:val="1919"/>
        </w:trPr>
        <w:tc>
          <w:tcPr>
            <w:tcW w:w="2143" w:type="dxa"/>
            <w:vMerge/>
            <w:tcBorders>
              <w:right w:val="single" w:sz="8" w:space="0" w:color="800000"/>
            </w:tcBorders>
          </w:tcPr>
          <w:p w:rsidR="00DF4094" w:rsidRDefault="00DF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8" w:space="0" w:color="8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освіти: третій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-науковий)</w:t>
            </w:r>
          </w:p>
          <w:p w:rsidR="00DF4094" w:rsidRPr="009E2A95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-наукова програма: </w:t>
            </w:r>
            <w:r w:rsidR="00AC6480" w:rsidRPr="00AC6480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астрономія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4"/>
                <w:tab w:val="left" w:pos="3849"/>
              </w:tabs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Рік навчання: </w:t>
            </w:r>
            <w:r w:rsidR="00AC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4"/>
                <w:tab w:val="left" w:pos="3849"/>
              </w:tabs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Кількість кредитів: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4"/>
                <w:tab w:val="left" w:pos="3849"/>
              </w:tabs>
              <w:spacing w:before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Мова викладання: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</w:tbl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1026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2613"/>
        <w:gridCol w:w="7653"/>
      </w:tblGrid>
      <w:tr w:rsidR="00DF4094">
        <w:trPr>
          <w:trHeight w:val="373"/>
        </w:trPr>
        <w:tc>
          <w:tcPr>
            <w:tcW w:w="2613" w:type="dxa"/>
            <w:tcBorders>
              <w:bottom w:val="single" w:sz="4" w:space="0" w:color="0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Викладач:</w:t>
            </w:r>
          </w:p>
        </w:tc>
        <w:tc>
          <w:tcPr>
            <w:tcW w:w="7653" w:type="dxa"/>
            <w:tcBorders>
              <w:bottom w:val="single" w:sz="4" w:space="0" w:color="000000"/>
            </w:tcBorders>
          </w:tcPr>
          <w:p w:rsidR="00DF4094" w:rsidRDefault="00CA667C" w:rsidP="00CA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Ігор</w:t>
            </w:r>
            <w:proofErr w:type="spellEnd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Володимирович</w:t>
            </w:r>
            <w:proofErr w:type="spellEnd"/>
            <w:r w:rsidRPr="00CA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Потапенко</w:t>
            </w:r>
          </w:p>
        </w:tc>
      </w:tr>
      <w:tr w:rsidR="00DF4094">
        <w:trPr>
          <w:trHeight w:val="337"/>
        </w:trPr>
        <w:tc>
          <w:tcPr>
            <w:tcW w:w="2613" w:type="dxa"/>
            <w:tcBorders>
              <w:top w:val="single" w:sz="4" w:space="0" w:color="000000"/>
            </w:tcBorders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</w:p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інформація:</w:t>
            </w:r>
          </w:p>
        </w:tc>
        <w:tc>
          <w:tcPr>
            <w:tcW w:w="7653" w:type="dxa"/>
            <w:tcBorders>
              <w:top w:val="single" w:sz="4" w:space="0" w:color="000000"/>
            </w:tcBorders>
          </w:tcPr>
          <w:p w:rsidR="00CA667C" w:rsidRPr="00CA667C" w:rsidRDefault="00CA667C" w:rsidP="00CA667C">
            <w:pPr>
              <w:spacing w:line="36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Диференціальних рівнянь геометрії та топології</w:t>
            </w:r>
          </w:p>
          <w:p w:rsidR="00DF4094" w:rsidRDefault="00CA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i.potapenko</w:t>
            </w:r>
            <w:proofErr w:type="spellEnd"/>
            <w:r w:rsidR="008972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@onu.edu.ua</w:t>
            </w:r>
            <w:r w:rsidR="0089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" w:hanging="2"/>
        <w:jc w:val="center"/>
        <w:rPr>
          <w:rFonts w:ascii="Times New Roman" w:eastAsia="Times New Roman" w:hAnsi="Times New Roman" w:cs="Times New Roman"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ОПИС ДИСЦИПЛІНИ</w:t>
      </w:r>
    </w:p>
    <w:p w:rsidR="00AC6480" w:rsidRPr="00AC6480" w:rsidRDefault="00AC6480" w:rsidP="00AC6480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AC6480">
        <w:rPr>
          <w:rFonts w:ascii="Times New Roman" w:hAnsi="Times New Roman" w:cs="Times New Roman"/>
          <w:b/>
          <w:sz w:val="24"/>
          <w:szCs w:val="24"/>
        </w:rPr>
        <w:t xml:space="preserve">Мета дисципліни: </w:t>
      </w:r>
      <w:r w:rsidRPr="00AC6480">
        <w:rPr>
          <w:rFonts w:ascii="Times New Roman" w:hAnsi="Times New Roman" w:cs="Times New Roman"/>
          <w:sz w:val="24"/>
          <w:szCs w:val="24"/>
        </w:rPr>
        <w:t xml:space="preserve">випливає з цілей освітньо-професійної підготовки спеціалістів напрямів фізика, астрономія та визначається змістом тих системних знань і умінь, яких потребує  освітньо-кваліфікаційна характеристика. Знання, які  студенти отримують з навчальної дисципліни, є базовими для блоку дисциплін, що забезпечують як природничо-наукову, так і </w:t>
      </w:r>
      <w:proofErr w:type="spellStart"/>
      <w:r w:rsidRPr="00AC6480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AC6480">
        <w:rPr>
          <w:rFonts w:ascii="Times New Roman" w:hAnsi="Times New Roman" w:cs="Times New Roman"/>
          <w:sz w:val="24"/>
          <w:szCs w:val="24"/>
        </w:rPr>
        <w:t>-практичну підготовку .</w:t>
      </w:r>
    </w:p>
    <w:p w:rsidR="00AC6480" w:rsidRDefault="00AC6480" w:rsidP="00AC6480">
      <w:pPr>
        <w:ind w:left="0" w:hanging="2"/>
        <w:jc w:val="both"/>
        <w:rPr>
          <w:color w:val="000000"/>
          <w:sz w:val="24"/>
          <w:szCs w:val="24"/>
        </w:rPr>
      </w:pPr>
    </w:p>
    <w:p w:rsidR="00DF4094" w:rsidRPr="00AC6480" w:rsidRDefault="00AC6480" w:rsidP="006F29F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480">
        <w:rPr>
          <w:rFonts w:ascii="Times New Roman" w:hAnsi="Times New Roman" w:cs="Times New Roman"/>
          <w:b/>
          <w:sz w:val="24"/>
          <w:szCs w:val="24"/>
          <w:highlight w:val="white"/>
        </w:rPr>
        <w:t>Завданнями</w:t>
      </w:r>
      <w:r w:rsidRPr="00AC6480">
        <w:rPr>
          <w:rFonts w:ascii="Times New Roman" w:hAnsi="Times New Roman" w:cs="Times New Roman"/>
          <w:sz w:val="24"/>
          <w:szCs w:val="24"/>
          <w:highlight w:val="white"/>
        </w:rPr>
        <w:t xml:space="preserve"> дисципліни </w:t>
      </w:r>
      <w:r w:rsidRPr="00AC6480">
        <w:rPr>
          <w:rFonts w:ascii="Times New Roman" w:hAnsi="Times New Roman" w:cs="Times New Roman"/>
          <w:sz w:val="24"/>
          <w:szCs w:val="24"/>
        </w:rPr>
        <w:t>«</w:t>
      </w:r>
      <w:r w:rsidRPr="00AC6480">
        <w:rPr>
          <w:rFonts w:ascii="Times New Roman" w:hAnsi="Times New Roman" w:cs="Times New Roman"/>
          <w:b/>
          <w:sz w:val="24"/>
          <w:szCs w:val="24"/>
        </w:rPr>
        <w:t>Основи векторного та тензорного аналізу</w:t>
      </w:r>
      <w:r w:rsidRPr="00AC6480">
        <w:rPr>
          <w:rFonts w:ascii="Times New Roman" w:hAnsi="Times New Roman" w:cs="Times New Roman"/>
          <w:sz w:val="24"/>
          <w:szCs w:val="24"/>
        </w:rPr>
        <w:t xml:space="preserve">»  </w:t>
      </w:r>
      <w:r w:rsidRPr="00AC6480">
        <w:rPr>
          <w:rFonts w:ascii="Times New Roman" w:hAnsi="Times New Roman" w:cs="Times New Roman"/>
          <w:color w:val="000000"/>
          <w:sz w:val="24"/>
          <w:szCs w:val="24"/>
        </w:rPr>
        <w:t>є:</w:t>
      </w:r>
      <w:r w:rsidRPr="00AC6480">
        <w:rPr>
          <w:rFonts w:ascii="Times New Roman" w:hAnsi="Times New Roman" w:cs="Times New Roman"/>
          <w:sz w:val="24"/>
          <w:szCs w:val="24"/>
        </w:rPr>
        <w:t>формування базових математичних знань для  розв’язування  задач у майбутній професійній діяльності; формування вмінь аналітичного мислення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5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 xml:space="preserve">СТРУКТУРА КУРСУ </w:t>
      </w:r>
    </w:p>
    <w:tbl>
      <w:tblPr>
        <w:tblStyle w:val="af2"/>
        <w:tblW w:w="112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54"/>
        <w:gridCol w:w="3447"/>
      </w:tblGrid>
      <w:tr w:rsidR="00DF4094" w:rsidTr="005D1F91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 навчання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94" w:rsidRDefault="0089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</w:tc>
      </w:tr>
      <w:tr w:rsidR="00DF4094" w:rsidTr="005D1F91">
        <w:trPr>
          <w:trHeight w:val="424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80" w:rsidRDefault="00AC6480" w:rsidP="00AC6480">
            <w:pPr>
              <w:spacing w:before="120" w:after="60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1.</w:t>
            </w:r>
          </w:p>
          <w:p w:rsidR="00AC6480" w:rsidRPr="00CF770D" w:rsidRDefault="00AC6480" w:rsidP="00AC6480">
            <w:pPr>
              <w:spacing w:before="120" w:after="60"/>
              <w:ind w:left="0" w:hanging="2"/>
              <w:jc w:val="center"/>
              <w:rPr>
                <w:iCs/>
                <w:color w:val="000000"/>
                <w:sz w:val="24"/>
                <w:szCs w:val="24"/>
              </w:rPr>
            </w:pPr>
            <w:r w:rsidRPr="001F56EF">
              <w:rPr>
                <w:b/>
                <w:sz w:val="24"/>
                <w:szCs w:val="24"/>
              </w:rPr>
              <w:t>Поняття тензора. Тензорна алгебра.</w:t>
            </w:r>
            <w:r w:rsidRPr="00851E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Основи векторного аналізу.</w:t>
            </w:r>
          </w:p>
          <w:p w:rsidR="00DF4094" w:rsidRPr="006F29FD" w:rsidRDefault="00DF4094" w:rsidP="006F2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57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480" w:rsidTr="005D1F91">
        <w:trPr>
          <w:trHeight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80" w:rsidRPr="00AC6480" w:rsidRDefault="00AC6480" w:rsidP="00AC6480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Тема 1. Поняття тензора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80" w:rsidRPr="006B75AD" w:rsidRDefault="006B75AD" w:rsidP="006B75AD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підсумовування Ейнштейна. Німі та вільні індекси. Символи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Кронекера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. Взаємні базиси векторів. Приклади тензорів. Метричні коефіцієнти базису.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80" w:rsidRDefault="00AC6480" w:rsidP="00AC6480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AC6480" w:rsidRDefault="00AC6480" w:rsidP="00AC6480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AC6480" w:rsidTr="005D1F91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80" w:rsidRPr="00AC6480" w:rsidRDefault="00AC6480" w:rsidP="00AC6480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Тема 2. Основні поняття векторного аналізу.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80" w:rsidRPr="006B75AD" w:rsidRDefault="006B75AD" w:rsidP="00AC648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Коваріантні та контраваріантні координати геометричного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. Криволінійні координати у просторі. Основні поняття векторного аналізу. Дивергенція, ротор, градієнт векторного поля. Оператор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набла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. Основна теорема векторного аналізу.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80" w:rsidRDefault="00AC6480" w:rsidP="00AC6480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AC6480" w:rsidRDefault="00AC6480" w:rsidP="00AC6480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практичне завдання </w:t>
            </w:r>
          </w:p>
        </w:tc>
      </w:tr>
      <w:tr w:rsidR="006B75AD" w:rsidTr="00AC6480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AC6480" w:rsidRDefault="006B75AD" w:rsidP="006B75AD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Тема 3. Тензорний закон перетворення координат. Псевдотензори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6B75AD" w:rsidRDefault="006B75AD" w:rsidP="006B75AD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Інваріант. Вектори, як тензори першої валентності. Два види векторів. Тензори другої валентності. Тензорний закон перетворення координат. Псевдотензори.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6B75AD" w:rsidRDefault="006B75AD" w:rsidP="006B7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практичне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завдання.</w:t>
            </w:r>
          </w:p>
        </w:tc>
      </w:tr>
      <w:tr w:rsidR="006B75AD" w:rsidTr="005D1F91">
        <w:trPr>
          <w:trHeight w:val="280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Змістовий модуль</w:t>
            </w:r>
            <w:r w:rsidRPr="00A964A7">
              <w:rPr>
                <w:b/>
                <w:bCs/>
                <w:sz w:val="24"/>
                <w:szCs w:val="24"/>
              </w:rPr>
              <w:t xml:space="preserve"> 2.</w:t>
            </w:r>
          </w:p>
          <w:p w:rsidR="006B75AD" w:rsidRDefault="006B75AD" w:rsidP="006B75AD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Тензорона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алгебра. Символи </w:t>
            </w:r>
            <w:proofErr w:type="spellStart"/>
            <w:r>
              <w:rPr>
                <w:b/>
                <w:bCs/>
                <w:sz w:val="24"/>
                <w:szCs w:val="24"/>
              </w:rPr>
              <w:t>Крістоффеля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6B75AD" w:rsidRDefault="006B75AD" w:rsidP="006B75AD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5AD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AC6480" w:rsidRDefault="006B75AD" w:rsidP="006B75AD">
            <w:pPr>
              <w:ind w:left="0" w:hanging="2"/>
              <w:rPr>
                <w:rFonts w:ascii="Times New Roman" w:hAnsi="Times New Roman" w:cs="Times New Roman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Тема 4. Основи тензорної алгебри.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6B75AD" w:rsidRDefault="006B75AD" w:rsidP="006B75AD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Операції додавання, множення, згортання,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симетрування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альтернування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. піднімання та опускання індексу для  тензорів. Симетричні та кососиметричні тензори. Теорема про ознаку тензора.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практичне завдання </w:t>
            </w:r>
          </w:p>
        </w:tc>
      </w:tr>
      <w:tr w:rsidR="006B75AD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AC6480" w:rsidRDefault="006B75AD" w:rsidP="006B75AD">
            <w:pPr>
              <w:ind w:left="0" w:hanging="2"/>
              <w:rPr>
                <w:rFonts w:ascii="Times New Roman" w:hAnsi="Times New Roman" w:cs="Times New Roman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Тема 5. Поняття ріманового простору. Метричний тензор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6B75AD" w:rsidRDefault="006B75AD" w:rsidP="006B75AD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Поняття ріманового простору. Метричний тензор. Символи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Крістоффеля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 1 та 2 роду. Закон їх перетворення при перетворенні координат.</w:t>
            </w:r>
            <w:r w:rsidRPr="006B7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6B75AD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AC6480" w:rsidRDefault="006B75AD" w:rsidP="006B75AD">
            <w:pPr>
              <w:pStyle w:val="14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480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AC6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Дивергенція, ротор, градієнт, як диференціальні оператори в криволінійній системі координат. </w:t>
            </w:r>
            <w:r w:rsidRPr="00AC64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6B75AD" w:rsidRDefault="006B75AD" w:rsidP="006B75AD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Дивергенція, ротор, градієнт , як диференціальні оператори в криволінійній системі координат. </w:t>
            </w:r>
            <w:r w:rsidRPr="006B7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 із реальними даними, використовуючи спеціалізовані пакети прикладних програм.</w:t>
            </w:r>
          </w:p>
        </w:tc>
      </w:tr>
      <w:tr w:rsidR="006B75AD" w:rsidTr="004A71F6">
        <w:trPr>
          <w:trHeight w:val="563"/>
        </w:trPr>
        <w:tc>
          <w:tcPr>
            <w:tcW w:w="1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5AD" w:rsidRDefault="006B75AD" w:rsidP="006B75AD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3.</w:t>
            </w:r>
          </w:p>
          <w:p w:rsidR="006B75AD" w:rsidRPr="004803AD" w:rsidRDefault="006B75AD" w:rsidP="006B75AD">
            <w:pPr>
              <w:ind w:left="0" w:hanging="2"/>
              <w:jc w:val="center"/>
              <w:rPr>
                <w:sz w:val="24"/>
                <w:szCs w:val="24"/>
              </w:rPr>
            </w:pPr>
            <w:r w:rsidRPr="00D42637">
              <w:rPr>
                <w:b/>
                <w:bCs/>
                <w:sz w:val="24"/>
                <w:szCs w:val="24"/>
              </w:rPr>
              <w:t>Коваріантна похідна тензора. Тотожність Річчі.</w:t>
            </w:r>
          </w:p>
          <w:p w:rsidR="006B75AD" w:rsidRPr="00AC6480" w:rsidRDefault="006B75AD" w:rsidP="006B75AD">
            <w:pPr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Теорія відображення гладких </w:t>
            </w:r>
            <w:proofErr w:type="spellStart"/>
            <w:r>
              <w:rPr>
                <w:b/>
                <w:sz w:val="24"/>
                <w:szCs w:val="24"/>
              </w:rPr>
              <w:t>многовидів</w:t>
            </w:r>
            <w:proofErr w:type="spellEnd"/>
          </w:p>
        </w:tc>
      </w:tr>
      <w:tr w:rsidR="006B75AD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AC6480" w:rsidRDefault="006B75AD" w:rsidP="006B75AD">
            <w:pPr>
              <w:ind w:left="0" w:hanging="2"/>
              <w:rPr>
                <w:rFonts w:ascii="Times New Roman" w:hAnsi="Times New Roman" w:cs="Times New Roman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Тема 7. Коваріантна похідна довільного тензора. Властивості коваріантного диференціювання. Похідна Лі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6B75AD" w:rsidRDefault="006B75AD" w:rsidP="006B75AD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Коваріантна похідна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ковектора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. Коваріантна похідна довільного тензора. Властивості коваріантного диференціювання. 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Коваріантно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 сталі тензори. Похідна Лі.    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 із реальними даними, використовуючи спеціалізовані пакети прикладних програм.</w:t>
            </w:r>
          </w:p>
        </w:tc>
      </w:tr>
      <w:tr w:rsidR="006B75AD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AC6480" w:rsidRDefault="006B75AD" w:rsidP="006B75AD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 xml:space="preserve">Тема 8. Тензор </w:t>
            </w:r>
            <w:proofErr w:type="spellStart"/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Рімана</w:t>
            </w:r>
            <w:proofErr w:type="spellEnd"/>
            <w:r w:rsidRPr="00AC6480">
              <w:rPr>
                <w:rFonts w:ascii="Times New Roman" w:hAnsi="Times New Roman" w:cs="Times New Roman"/>
                <w:sz w:val="24"/>
                <w:szCs w:val="24"/>
              </w:rPr>
              <w:t xml:space="preserve"> та його властивості. Тотожність Річчі для довільного тензора.</w:t>
            </w:r>
          </w:p>
          <w:p w:rsidR="006B75AD" w:rsidRPr="00AC6480" w:rsidRDefault="006B75AD" w:rsidP="006B75AD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6B75AD" w:rsidRDefault="006B75AD" w:rsidP="006B75AD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Тотожність Річчі для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ковектора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. Тензор </w:t>
            </w:r>
            <w:proofErr w:type="spellStart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>Рімана</w:t>
            </w:r>
            <w:proofErr w:type="spellEnd"/>
            <w:r w:rsidRPr="006B75AD">
              <w:rPr>
                <w:rFonts w:ascii="Times New Roman" w:hAnsi="Times New Roman" w:cs="Times New Roman"/>
                <w:sz w:val="24"/>
                <w:szCs w:val="24"/>
              </w:rPr>
              <w:t xml:space="preserve"> та його властивості. Тотожність Річчі для довільного тензора.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  <w:tr w:rsidR="006B75AD" w:rsidTr="005D1F91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AC6480" w:rsidRDefault="006B75AD" w:rsidP="006B75AD">
            <w:pPr>
              <w:ind w:left="0" w:hanging="2"/>
              <w:rPr>
                <w:rFonts w:ascii="Times New Roman" w:hAnsi="Times New Roman" w:cs="Times New Roman"/>
              </w:rPr>
            </w:pPr>
            <w:r w:rsidRPr="00AC6480">
              <w:rPr>
                <w:rFonts w:ascii="Times New Roman" w:hAnsi="Times New Roman" w:cs="Times New Roman"/>
                <w:sz w:val="24"/>
                <w:szCs w:val="24"/>
              </w:rPr>
              <w:t xml:space="preserve">Тема 9. Поняття відображення поверхонь та гладких </w:t>
            </w:r>
            <w:proofErr w:type="spellStart"/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многовидів</w:t>
            </w:r>
            <w:proofErr w:type="spellEnd"/>
            <w:r w:rsidRPr="00AC6480">
              <w:rPr>
                <w:rFonts w:ascii="Times New Roman" w:hAnsi="Times New Roman" w:cs="Times New Roman"/>
                <w:sz w:val="24"/>
                <w:szCs w:val="24"/>
              </w:rPr>
              <w:t>. Степінь відображення.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Pr="006B75AD" w:rsidRDefault="006B75AD" w:rsidP="006B75AD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гладкого </w:t>
            </w:r>
            <w:proofErr w:type="spellStart"/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>многовиду</w:t>
            </w:r>
            <w:proofErr w:type="spellEnd"/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>. Коваріантне диференціювання вздовж кривої, геодезичні. Поняття паралельного перенесення векторів та тензорів вздовж кривої.</w:t>
            </w:r>
          </w:p>
          <w:p w:rsidR="006B75AD" w:rsidRPr="006B75AD" w:rsidRDefault="006B75AD" w:rsidP="006B75AD">
            <w:pPr>
              <w:pStyle w:val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Поняття відображення поверхонь та гладких </w:t>
            </w:r>
            <w:proofErr w:type="spellStart"/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>многовидівЛема</w:t>
            </w:r>
            <w:proofErr w:type="spellEnd"/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>Сарда</w:t>
            </w:r>
            <w:proofErr w:type="spellEnd"/>
            <w:r w:rsidRPr="006B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Степінь відображення. Ізометричні та конформні відображення поверхонь, афінні та геодезичні відображення поверхонь. </w:t>
            </w:r>
          </w:p>
          <w:p w:rsidR="006B75AD" w:rsidRPr="006B75AD" w:rsidRDefault="006B75AD" w:rsidP="006B75AD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Ознайомитись із  теоретичними положеннями теми. </w:t>
            </w:r>
          </w:p>
          <w:p w:rsidR="006B75AD" w:rsidRDefault="006B75AD" w:rsidP="006B75AD">
            <w:pPr>
              <w:numPr>
                <w:ilvl w:val="0"/>
                <w:numId w:val="1"/>
              </w:numPr>
              <w:ind w:left="0" w:right="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практичне завдання.</w:t>
            </w:r>
          </w:p>
        </w:tc>
      </w:tr>
    </w:tbl>
    <w:p w:rsidR="00DF4094" w:rsidRDefault="00DF4094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629" w:hanging="2"/>
        <w:jc w:val="center"/>
        <w:rPr>
          <w:rFonts w:ascii="Times New Roman" w:eastAsia="Times New Roman" w:hAnsi="Times New Roman" w:cs="Times New Roman"/>
          <w:color w:val="000096"/>
          <w:sz w:val="24"/>
          <w:szCs w:val="24"/>
        </w:rPr>
      </w:pPr>
    </w:p>
    <w:p w:rsidR="00173377" w:rsidRDefault="00173377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</w:p>
    <w:p w:rsidR="005D1F91" w:rsidRDefault="005D1F91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</w:p>
    <w:p w:rsidR="005D1F91" w:rsidRDefault="005D1F91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  <w:bookmarkStart w:id="1" w:name="_GoBack"/>
      <w:bookmarkEnd w:id="1"/>
    </w:p>
    <w:p w:rsidR="005D1F91" w:rsidRDefault="005D1F91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</w:p>
    <w:p w:rsidR="005D1F91" w:rsidRDefault="005D1F91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0" w:right="37" w:hanging="2"/>
        <w:jc w:val="center"/>
        <w:rPr>
          <w:rFonts w:ascii="Times New Roman" w:eastAsia="Times New Roman" w:hAnsi="Times New Roman" w:cs="Times New Roman"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ОСНОВНА ЛІТЕРАТУРА</w:t>
      </w:r>
    </w:p>
    <w:p w:rsidR="005D1F91" w:rsidRPr="00A81AFA" w:rsidRDefault="005D1F91" w:rsidP="005D1F91">
      <w:pPr>
        <w:pStyle w:val="1"/>
        <w:ind w:left="1" w:hanging="3"/>
        <w:rPr>
          <w:b/>
          <w:sz w:val="32"/>
          <w:szCs w:val="32"/>
        </w:rPr>
      </w:pPr>
    </w:p>
    <w:p w:rsidR="006B75AD" w:rsidRPr="00887024" w:rsidRDefault="006B75AD" w:rsidP="006B75AD">
      <w:pPr>
        <w:widowControl/>
        <w:numPr>
          <w:ilvl w:val="0"/>
          <w:numId w:val="8"/>
        </w:numPr>
        <w:suppressAutoHyphens w:val="0"/>
        <w:autoSpaceDE/>
        <w:autoSpaceDN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887024">
        <w:rPr>
          <w:rFonts w:ascii="Times New Roman" w:hAnsi="Times New Roman" w:cs="Times New Roman"/>
          <w:sz w:val="24"/>
          <w:szCs w:val="24"/>
        </w:rPr>
        <w:t xml:space="preserve">П. К.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Рашевский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Риманова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геометрия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тензорный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>. Москва., Наука,1967.</w:t>
      </w:r>
    </w:p>
    <w:p w:rsidR="006B75AD" w:rsidRPr="00887024" w:rsidRDefault="006B75AD" w:rsidP="006B75AD">
      <w:pPr>
        <w:widowControl/>
        <w:numPr>
          <w:ilvl w:val="0"/>
          <w:numId w:val="8"/>
        </w:numPr>
        <w:suppressAutoHyphens w:val="0"/>
        <w:autoSpaceDE/>
        <w:autoSpaceDN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А.И.Борисенко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. И.Е.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Тарапов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Векторный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и начала тензорного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исчисления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. Харьков.1986.</w:t>
      </w:r>
    </w:p>
    <w:p w:rsidR="006B75AD" w:rsidRPr="00887024" w:rsidRDefault="006B75AD" w:rsidP="006B75AD">
      <w:pPr>
        <w:pStyle w:val="a6"/>
        <w:widowControl/>
        <w:numPr>
          <w:ilvl w:val="0"/>
          <w:numId w:val="8"/>
        </w:numPr>
        <w:suppressAutoHyphens w:val="0"/>
        <w:autoSpaceDE/>
        <w:autoSpaceDN/>
        <w:spacing w:after="200" w:line="276" w:lineRule="auto"/>
        <w:ind w:leftChars="0" w:left="0" w:firstLineChars="0" w:hanging="2"/>
        <w:contextualSpacing/>
        <w:jc w:val="left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. Мак –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Коннел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тензорный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приложениями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геометрии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механике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>. Москва. 1963.</w:t>
      </w:r>
    </w:p>
    <w:p w:rsidR="006B75AD" w:rsidRPr="00887024" w:rsidRDefault="006B75AD" w:rsidP="006B75AD">
      <w:pPr>
        <w:pStyle w:val="a6"/>
        <w:widowControl/>
        <w:numPr>
          <w:ilvl w:val="0"/>
          <w:numId w:val="8"/>
        </w:numPr>
        <w:suppressAutoHyphens w:val="0"/>
        <w:autoSpaceDE/>
        <w:autoSpaceDN/>
        <w:spacing w:after="200" w:line="276" w:lineRule="auto"/>
        <w:ind w:leftChars="0" w:left="0" w:firstLineChars="0" w:hanging="2"/>
        <w:contextualSpacing/>
        <w:jc w:val="left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887024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Сокольников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Тензорный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геометрии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механике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сплошных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>. Москва. 1971.</w:t>
      </w:r>
    </w:p>
    <w:p w:rsidR="006B75AD" w:rsidRPr="00887024" w:rsidRDefault="006B75AD" w:rsidP="006B75AD">
      <w:pPr>
        <w:widowControl/>
        <w:numPr>
          <w:ilvl w:val="0"/>
          <w:numId w:val="8"/>
        </w:numPr>
        <w:suppressAutoHyphens w:val="0"/>
        <w:autoSpaceDE/>
        <w:autoSpaceDN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887024">
        <w:rPr>
          <w:rFonts w:ascii="Times New Roman" w:hAnsi="Times New Roman" w:cs="Times New Roman"/>
          <w:sz w:val="24"/>
          <w:szCs w:val="24"/>
        </w:rPr>
        <w:t xml:space="preserve">Б. Е.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Победря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 xml:space="preserve"> по тензорному </w:t>
      </w:r>
      <w:proofErr w:type="spellStart"/>
      <w:r w:rsidRPr="00887024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887024">
        <w:rPr>
          <w:rFonts w:ascii="Times New Roman" w:hAnsi="Times New Roman" w:cs="Times New Roman"/>
          <w:sz w:val="24"/>
          <w:szCs w:val="24"/>
        </w:rPr>
        <w:t>. МГУ. 1979</w:t>
      </w:r>
    </w:p>
    <w:p w:rsidR="006B75AD" w:rsidRPr="00887024" w:rsidRDefault="006B75AD" w:rsidP="006B75AD">
      <w:pPr>
        <w:ind w:left="0" w:hanging="2"/>
        <w:jc w:val="both"/>
        <w:rPr>
          <w:rFonts w:ascii="Times New Roman" w:hAnsi="Times New Roman" w:cs="Times New Roman"/>
          <w:b/>
        </w:rPr>
      </w:pPr>
    </w:p>
    <w:p w:rsidR="006B75AD" w:rsidRPr="00887024" w:rsidRDefault="006B75AD" w:rsidP="006B75AD">
      <w:pPr>
        <w:ind w:left="0" w:hanging="2"/>
        <w:rPr>
          <w:rFonts w:ascii="Times New Roman" w:hAnsi="Times New Roman" w:cs="Times New Roman"/>
        </w:rPr>
      </w:pPr>
    </w:p>
    <w:p w:rsidR="005D1F91" w:rsidRDefault="005D1F91" w:rsidP="005D1F91">
      <w:pPr>
        <w:spacing w:line="288" w:lineRule="auto"/>
        <w:ind w:left="0" w:hanging="2"/>
        <w:rPr>
          <w:rStyle w:val="markedcontent"/>
          <w:sz w:val="24"/>
          <w:szCs w:val="24"/>
        </w:rPr>
      </w:pPr>
    </w:p>
    <w:p w:rsidR="00DF4094" w:rsidRDefault="00DF4094" w:rsidP="005D1F91">
      <w:pPr>
        <w:widowControl/>
        <w:shd w:val="clear" w:color="auto" w:fill="FFFFFF"/>
        <w:suppressAutoHyphens w:val="0"/>
        <w:autoSpaceDE/>
        <w:autoSpaceDN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ОЦІНЮВАННЯ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підсумкового контролю –  залік </w:t>
      </w:r>
    </w:p>
    <w:p w:rsidR="00DF4094" w:rsidRDefault="00DF40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094" w:rsidRDefault="008972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Розподіл балів за видами навчальної роботи</w:t>
      </w:r>
    </w:p>
    <w:tbl>
      <w:tblPr>
        <w:tblStyle w:val="af3"/>
        <w:tblW w:w="10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2580"/>
        <w:gridCol w:w="2255"/>
        <w:gridCol w:w="2379"/>
      </w:tblGrid>
      <w:tr w:rsidR="00DF4094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Види навчальної роботи</w:t>
            </w:r>
          </w:p>
        </w:tc>
        <w:tc>
          <w:tcPr>
            <w:tcW w:w="2580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 за одне заняття (завдання)</w:t>
            </w:r>
          </w:p>
        </w:tc>
        <w:tc>
          <w:tcPr>
            <w:tcW w:w="2255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занять (завдань)</w:t>
            </w: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Сумарна кількість балів</w:t>
            </w:r>
          </w:p>
        </w:tc>
      </w:tr>
      <w:tr w:rsidR="00DF4094">
        <w:tc>
          <w:tcPr>
            <w:tcW w:w="10885" w:type="dxa"/>
            <w:gridSpan w:val="4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Змістовий модуль 1 </w:t>
            </w:r>
          </w:p>
        </w:tc>
      </w:tr>
      <w:tr w:rsidR="00DF4094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5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F4094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 за змістовим модулем 1</w:t>
            </w:r>
          </w:p>
        </w:tc>
        <w:tc>
          <w:tcPr>
            <w:tcW w:w="2580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</w:p>
        </w:tc>
      </w:tr>
      <w:tr w:rsidR="00DF4094">
        <w:tc>
          <w:tcPr>
            <w:tcW w:w="10885" w:type="dxa"/>
            <w:gridSpan w:val="4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Змістовий модуль 2 </w:t>
            </w:r>
          </w:p>
        </w:tc>
      </w:tr>
      <w:tr w:rsidR="00DF4094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5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F4094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Усього за змістовим </w:t>
            </w:r>
          </w:p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модулем 2</w:t>
            </w:r>
          </w:p>
        </w:tc>
        <w:tc>
          <w:tcPr>
            <w:tcW w:w="2580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DF4094">
        <w:tc>
          <w:tcPr>
            <w:tcW w:w="10885" w:type="dxa"/>
            <w:gridSpan w:val="4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Змістовий модуль 3 </w:t>
            </w:r>
          </w:p>
        </w:tc>
      </w:tr>
      <w:tr w:rsidR="00DF4094">
        <w:tc>
          <w:tcPr>
            <w:tcW w:w="3671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Виконання і захист практичних робіт</w:t>
            </w:r>
          </w:p>
        </w:tc>
        <w:tc>
          <w:tcPr>
            <w:tcW w:w="2580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2255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F4094">
        <w:tc>
          <w:tcPr>
            <w:tcW w:w="3671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Усього за змістовим </w:t>
            </w:r>
          </w:p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модулем 3</w:t>
            </w:r>
          </w:p>
        </w:tc>
        <w:tc>
          <w:tcPr>
            <w:tcW w:w="2580" w:type="dxa"/>
          </w:tcPr>
          <w:p w:rsidR="00DF4094" w:rsidRDefault="00DF4094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</w:tcPr>
          <w:p w:rsidR="00DF4094" w:rsidRDefault="00DF4094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9" w:type="dxa"/>
          </w:tcPr>
          <w:p w:rsidR="00DF4094" w:rsidRDefault="0089729E">
            <w:pPr>
              <w:tabs>
                <w:tab w:val="left" w:pos="1428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 – 40</w:t>
            </w:r>
          </w:p>
        </w:tc>
      </w:tr>
      <w:tr w:rsidR="00DF4094">
        <w:tc>
          <w:tcPr>
            <w:tcW w:w="3671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Підсумкова сума балів</w:t>
            </w:r>
          </w:p>
        </w:tc>
        <w:tc>
          <w:tcPr>
            <w:tcW w:w="2580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</w:tcPr>
          <w:p w:rsidR="00DF4094" w:rsidRDefault="00DF40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</w:tcPr>
          <w:p w:rsidR="00DF4094" w:rsidRDefault="0089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 – 100</w:t>
            </w:r>
          </w:p>
        </w:tc>
      </w:tr>
    </w:tbl>
    <w:p w:rsidR="00DF4094" w:rsidRDefault="00DF40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0" w:right="-57" w:hanging="2"/>
        <w:jc w:val="center"/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6"/>
          <w:sz w:val="24"/>
          <w:szCs w:val="24"/>
        </w:rPr>
        <w:t>ПОЛІТИКА КУРСУ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40" w:lineRule="auto"/>
        <w:ind w:left="0" w:right="-5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Політика щодо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дедлайнів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перескладання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Порушення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дедлайнів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захисту практичних робіт без поважних причин штрафується: запізнення менше одного тижня — 2 бали, запізнення більше одного тижня — 4 бали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Перескладання відбувається із дозволу деканату за наявності поважних причин. 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40" w:lineRule="auto"/>
        <w:ind w:left="0" w:right="-5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 щодо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регламентується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Положенням про запобігання та виявлення академічного плагіату у освітній та науково-дослідній роботі учасників освітнього процесу та науковців Одеського національного університету імені І.І. Мечникова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polozhennya-antiplagiat-2021.pdf (onu.edu.ua )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DF4094" w:rsidRDefault="0089729E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40" w:lineRule="auto"/>
        <w:ind w:left="0" w:right="-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 щодо відвідування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Відвідування 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цій не є обов'язковим.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Відвідування практичних занять є обов’язковим. В окремих випадках </w:t>
      </w:r>
      <w:r>
        <w:rPr>
          <w:rFonts w:ascii="Times New Roman" w:eastAsia="Times New Roman" w:hAnsi="Times New Roman" w:cs="Times New Roman"/>
          <w:sz w:val="24"/>
          <w:szCs w:val="24"/>
        </w:rPr>
        <w:t>освітній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відбуватись онлайн з використанням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технологій дистанційного навчання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workspace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електронна пошта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соціальні мереж</w:t>
      </w:r>
      <w:r>
        <w:rPr>
          <w:rFonts w:ascii="Times New Roman" w:eastAsia="Times New Roman" w:hAnsi="Times New Roman" w:cs="Times New Roman"/>
          <w:sz w:val="24"/>
          <w:szCs w:val="24"/>
        </w:rPr>
        <w:t>і та ін.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Порядок та умови такого навчання регламентуються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Положенням про організацію освітнього процесу в ОНУ (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poloz-org-osvit-process_2022.pdf (onu.edu.ua)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  </w:t>
      </w:r>
    </w:p>
    <w:sectPr w:rsidR="00DF4094">
      <w:pgSz w:w="12240" w:h="15840"/>
      <w:pgMar w:top="720" w:right="720" w:bottom="72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DCC"/>
    <w:multiLevelType w:val="multilevel"/>
    <w:tmpl w:val="5E1C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61C"/>
    <w:multiLevelType w:val="multilevel"/>
    <w:tmpl w:val="B4F4748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832E00"/>
    <w:multiLevelType w:val="multilevel"/>
    <w:tmpl w:val="07BE7C9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6978EF"/>
    <w:multiLevelType w:val="hybridMultilevel"/>
    <w:tmpl w:val="76CAA6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75D7"/>
    <w:multiLevelType w:val="hybridMultilevel"/>
    <w:tmpl w:val="C00E6858"/>
    <w:lvl w:ilvl="0" w:tplc="2F8A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71E6048"/>
    <w:multiLevelType w:val="hybridMultilevel"/>
    <w:tmpl w:val="AB3CB0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5B82"/>
    <w:multiLevelType w:val="multilevel"/>
    <w:tmpl w:val="82CEC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4"/>
    <w:rsid w:val="000826B7"/>
    <w:rsid w:val="00173377"/>
    <w:rsid w:val="00265E6F"/>
    <w:rsid w:val="004E5F87"/>
    <w:rsid w:val="00580A60"/>
    <w:rsid w:val="005D1F91"/>
    <w:rsid w:val="006B75AD"/>
    <w:rsid w:val="006F29FD"/>
    <w:rsid w:val="00790070"/>
    <w:rsid w:val="00887024"/>
    <w:rsid w:val="0089729E"/>
    <w:rsid w:val="009E2A95"/>
    <w:rsid w:val="00AC6480"/>
    <w:rsid w:val="00CA667C"/>
    <w:rsid w:val="00D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5282"/>
  <w15:docId w15:val="{55B2BB9C-EAFC-4C2D-9031-A615F4A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uk-UA" w:bidi="uk-UA"/>
    </w:rPr>
  </w:style>
  <w:style w:type="paragraph" w:styleId="1">
    <w:name w:val="heading 1"/>
    <w:basedOn w:val="a"/>
    <w:next w:val="a"/>
    <w:pPr>
      <w:keepNext/>
      <w:widowControl/>
      <w:shd w:val="clear" w:color="auto" w:fill="FFFFFF"/>
      <w:autoSpaceDN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</w:style>
  <w:style w:type="character" w:customStyle="1" w:styleId="a5">
    <w:name w:val="Основной текст Знак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uk-UA" w:eastAsia="uk-UA" w:bidi="uk-UA"/>
    </w:rPr>
  </w:style>
  <w:style w:type="paragraph" w:customStyle="1" w:styleId="11">
    <w:name w:val="Заголовок 11"/>
    <w:basedOn w:val="a"/>
    <w:pPr>
      <w:spacing w:before="93"/>
      <w:ind w:left="4409" w:right="4207"/>
      <w:jc w:val="center"/>
      <w:outlineLvl w:val="1"/>
    </w:pPr>
    <w:rPr>
      <w:b/>
      <w:bCs/>
    </w:rPr>
  </w:style>
  <w:style w:type="paragraph" w:styleId="a6">
    <w:name w:val="List Paragraph"/>
    <w:basedOn w:val="a"/>
    <w:uiPriority w:val="34"/>
    <w:qFormat/>
    <w:pPr>
      <w:ind w:left="690" w:hanging="361"/>
      <w:jc w:val="both"/>
    </w:pPr>
  </w:style>
  <w:style w:type="paragraph" w:customStyle="1" w:styleId="TableParagraph">
    <w:name w:val="Table Paragraph"/>
    <w:basedOn w:val="a"/>
    <w:pPr>
      <w:spacing w:before="100"/>
      <w:ind w:left="95"/>
    </w:p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uk-UA" w:bidi="uk-UA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uk-UA" w:eastAsia="uk-UA" w:bidi="uk-UA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uk-UA" w:eastAsia="ar-SA"/>
    </w:rPr>
  </w:style>
  <w:style w:type="paragraph" w:styleId="ac">
    <w:name w:val="footnote text"/>
    <w:basedOn w:val="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4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7">
    <w:name w:val="Основной текст (7) Знак"/>
    <w:rPr>
      <w:rFonts w:ascii="Arial Unicode MS" w:eastAsia="Calibri" w:hAnsi="Arial Unicode MS" w:cs="Arial Unicode MS"/>
      <w:b/>
      <w:bCs/>
      <w:color w:val="000000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70">
    <w:name w:val="Основной текст (7)"/>
    <w:basedOn w:val="a"/>
    <w:pPr>
      <w:widowControl/>
      <w:shd w:val="clear" w:color="auto" w:fill="FFFFFF"/>
      <w:autoSpaceDE/>
      <w:autoSpaceDN/>
      <w:spacing w:before="720" w:after="1140" w:line="240" w:lineRule="atLeast"/>
      <w:jc w:val="center"/>
    </w:pPr>
    <w:rPr>
      <w:rFonts w:ascii="Arial Unicode MS" w:eastAsia="Calibri" w:hAnsi="Arial Unicode MS" w:cs="Arial Unicode MS"/>
      <w:b/>
      <w:bCs/>
      <w:color w:val="000000"/>
      <w:sz w:val="26"/>
      <w:szCs w:val="26"/>
      <w:lang w:val="ru-RU" w:eastAsia="en-US" w:bidi="ar-SA"/>
    </w:rPr>
  </w:style>
  <w:style w:type="paragraph" w:customStyle="1" w:styleId="12">
    <w:name w:val="Заголовок №1"/>
    <w:basedOn w:val="a"/>
    <w:pPr>
      <w:widowControl/>
      <w:shd w:val="clear" w:color="auto" w:fill="FFFFFF"/>
      <w:autoSpaceDE/>
      <w:autoSpaceDN/>
      <w:spacing w:before="420" w:after="3120" w:line="422" w:lineRule="atLeast"/>
      <w:jc w:val="center"/>
    </w:pPr>
    <w:rPr>
      <w:rFonts w:ascii="Arial Unicode MS" w:eastAsia="Calibri" w:hAnsi="Arial Unicode MS" w:cs="Arial Unicode MS"/>
      <w:color w:val="000000"/>
      <w:sz w:val="35"/>
      <w:szCs w:val="35"/>
      <w:lang w:val="ru-RU" w:eastAsia="ru-RU" w:bidi="ar-SA"/>
    </w:rPr>
  </w:style>
  <w:style w:type="character" w:customStyle="1" w:styleId="13">
    <w:name w:val="Заголовок №1_"/>
    <w:rPr>
      <w:rFonts w:ascii="Arial Unicode MS" w:eastAsia="Calibri" w:hAnsi="Arial Unicode MS" w:cs="Arial Unicode MS"/>
      <w:color w:val="000000"/>
      <w:w w:val="100"/>
      <w:position w:val="-1"/>
      <w:sz w:val="35"/>
      <w:szCs w:val="35"/>
      <w:effect w:val="none"/>
      <w:shd w:val="clear" w:color="auto" w:fill="FFFFFF"/>
      <w:vertAlign w:val="baseline"/>
      <w:cs w:val="0"/>
      <w:em w:val="none"/>
      <w:lang w:eastAsia="ru-RU"/>
    </w:rPr>
  </w:style>
  <w:style w:type="table" w:customStyle="1" w:styleId="TableNormal1">
    <w:name w:val="Table Normal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4">
    <w:name w:val="Без интервала1"/>
    <w:qFormat/>
    <w:rsid w:val="00580A60"/>
    <w:pPr>
      <w:suppressAutoHyphens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markedcontent">
    <w:name w:val="markedcontent"/>
    <w:basedOn w:val="a0"/>
    <w:qFormat/>
    <w:rsid w:val="005D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pub/bank/userfiles/files/documents/polozennya/poloz-org-osvit-process_202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nu.edu.ua/pub/bank/userfiles/files/acad_council/polozhennya-antiplagiat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u.edu.ua/pub/bank/userfiles/files/acad_council/polozhennya-antiplagiat-22-02-201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lUHsv1DrCgb+DnLDnDYvvqntA==">AMUW2mXlB8/08SOX83kNZUycSiM8vUBqoGgFplazk8fdqYusaBlkVj21SPcDq8wf5QZvzm9J6JYqWPjxf6pGkdTIy7sGqDzGiW327te+7i0uG9ilKPV4x7S7j1CdbR58JMGGBb3S1+9JCzVT6guK7ZPe457BeKObDAjR7o605R9Hxv3RS8J151E=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Chieftec</dc:creator>
  <cp:lastModifiedBy>hp</cp:lastModifiedBy>
  <cp:revision>12</cp:revision>
  <dcterms:created xsi:type="dcterms:W3CDTF">2022-11-23T19:03:00Z</dcterms:created>
  <dcterms:modified xsi:type="dcterms:W3CDTF">2023-02-10T07:54:00Z</dcterms:modified>
</cp:coreProperties>
</file>