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B3" w:rsidRDefault="00A53AB3" w:rsidP="00A53AB3">
      <w:pPr>
        <w:ind w:left="-567"/>
      </w:pPr>
      <w:r>
        <w:fldChar w:fldCharType="begin"/>
      </w:r>
      <w:r>
        <w:instrText>HYPERLINK "http://isearch.kiev.ua/ru/searchpracticeru/-searchengines-ru/802-patent-search-sites"</w:instrText>
      </w:r>
      <w:r>
        <w:fldChar w:fldCharType="separate"/>
      </w:r>
      <w:r w:rsidRPr="001629D0">
        <w:rPr>
          <w:rStyle w:val="a3"/>
        </w:rPr>
        <w:t>http://isearch.kiev.ua/ru/searchpracticeru/-searchengines-ru/802-patent-search-sites</w:t>
      </w:r>
      <w:r>
        <w:fldChar w:fldCharType="end"/>
      </w:r>
      <w:proofErr w:type="gramStart"/>
      <w:r>
        <w:t xml:space="preserve"> :</w:t>
      </w:r>
      <w:proofErr w:type="gramEnd"/>
      <w:r>
        <w:t xml:space="preserve"> </w:t>
      </w:r>
    </w:p>
    <w:p w:rsidR="00A53AB3" w:rsidRDefault="00A53AB3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C2B" w:rsidRPr="001A3C2B" w:rsidRDefault="001A3C2B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A3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Патентний</w:t>
      </w:r>
      <w:proofErr w:type="spellEnd"/>
      <w:r w:rsidRPr="001A3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пошук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 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обов’язковий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етап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наукового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досл</w:t>
      </w:r>
      <w:proofErr w:type="gram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ідження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якому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здійснюється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пошуку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у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патентних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фондах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документів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відповідають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темі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запиту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3C2B" w:rsidRPr="001A3C2B" w:rsidRDefault="001A3C2B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Патентний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проводиться для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наступних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цілей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A3C2B" w:rsidRPr="001A3C2B" w:rsidRDefault="001A3C2B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Патентний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проводиться для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наступних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цілей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A3C2B" w:rsidRPr="001A3C2B" w:rsidRDefault="001A3C2B" w:rsidP="00A56E8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62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proofErr w:type="gram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ірка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унікальності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винаходу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C2B" w:rsidRPr="001A3C2B" w:rsidRDefault="001A3C2B" w:rsidP="00A56E8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62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останніх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новинок в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proofErr w:type="gram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досліджується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C2B" w:rsidRPr="001A3C2B" w:rsidRDefault="001A3C2B" w:rsidP="00A56E8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62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З'ясування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посягає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винахід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чужу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інтелектуальну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C2B" w:rsidRPr="001A3C2B" w:rsidRDefault="001A3C2B" w:rsidP="00A56E8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62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винаходу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C2B" w:rsidRPr="001A3C2B" w:rsidRDefault="001A3C2B" w:rsidP="00A56E8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62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патенті</w:t>
      </w:r>
      <w:proofErr w:type="gram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винахід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корисну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модель.</w:t>
      </w:r>
    </w:p>
    <w:p w:rsidR="001A3C2B" w:rsidRPr="001A3C2B" w:rsidRDefault="001A3C2B" w:rsidP="00A56E8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62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proofErr w:type="gram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цікавить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C2B" w:rsidRPr="001A3C2B" w:rsidRDefault="001A3C2B" w:rsidP="00A56E8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62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proofErr w:type="gram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A3C2B" w:rsidRPr="001A3C2B" w:rsidRDefault="001A3C2B" w:rsidP="00A56E8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62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</w:t>
      </w:r>
      <w:proofErr w:type="gram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конкурентів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C2B" w:rsidRPr="001A3C2B" w:rsidRDefault="001A3C2B" w:rsidP="00A56E8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62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Знаходження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1A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проблем.</w:t>
      </w:r>
    </w:p>
    <w:p w:rsidR="001A3C2B" w:rsidRPr="001A3C2B" w:rsidRDefault="001A3C2B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Патентний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здійснюється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допомогою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інформаційно-пошукових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виконується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вручну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використанням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відповідних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комп'ютерних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3C2B" w:rsidRPr="001A3C2B" w:rsidRDefault="001A3C2B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Існують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безкоштовні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інтернет-ресурси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бази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можуть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допомогти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короткі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терміни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досягти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найбільш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ефективних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результаті</w:t>
      </w:r>
      <w:proofErr w:type="gram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proofErr w:type="gram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A3C2B" w:rsidRPr="001A3C2B" w:rsidRDefault="00DC1341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" w:history="1">
        <w:proofErr w:type="gram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Google Patent Search 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</w:t>
      </w:r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база</w:t>
      </w:r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Google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складається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містяться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USPTO (United States Patent and Trademark Office).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Розширений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дозволяє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здійснювати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таких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критеріях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як автор,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номер патенту, дата</w:t>
      </w:r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Є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ручна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можливість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збільшення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тексту (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zoom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ілюстрацій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Пошукова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використовує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спеціальну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технологію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розпізнавання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тексту на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фотографіях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яка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дозволяє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здійснювати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навіть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тексту на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відсканованих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патентах.</w:t>
      </w:r>
    </w:p>
    <w:p w:rsidR="001A3C2B" w:rsidRPr="001A3C2B" w:rsidRDefault="00DC1341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Esp@cenet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 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Європейське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відомство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(European Patent Office). </w:t>
      </w:r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 база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містить</w:t>
      </w:r>
      <w:proofErr w:type="spellEnd"/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більше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60 млн.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Через сайт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Європейської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організації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провести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БД: “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Worldwide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”, 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Європейської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організації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(EPO),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Всесвітньої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організації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інтелектуальної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власності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(WIPO).</w:t>
      </w:r>
    </w:p>
    <w:p w:rsidR="001A3C2B" w:rsidRPr="001A3C2B" w:rsidRDefault="001A3C2B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База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3C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“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Worldwide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”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дозволяє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шукати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інформацію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опубліковані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патентні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документи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більш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ніж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80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країн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регіонів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найбільше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зібрання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документів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Espacenet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базах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«EP -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esp@cenet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та “WIPO -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esp@cenet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”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можна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знайти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патенти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опублі</w:t>
      </w:r>
      <w:proofErr w:type="gram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кован</w:t>
      </w:r>
      <w:proofErr w:type="gram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лише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останні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два роки. </w:t>
      </w:r>
      <w:proofErr w:type="spellStart"/>
      <w:proofErr w:type="gram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</w:t>
      </w:r>
      <w:proofErr w:type="gram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іші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документи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знаходяться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БД “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Worldwide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”. На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головній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сторінці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сайту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відображається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список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останніх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опублікованих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базах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проводиться </w:t>
      </w:r>
      <w:proofErr w:type="spellStart"/>
      <w:proofErr w:type="gram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</w:t>
      </w:r>
      <w:proofErr w:type="gram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ійською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мовою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гарантії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доцільно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повторити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процедуру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пошуку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мові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країни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яка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реєструвала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патент, тому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у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всіх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патентах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присутній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англійський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переклад </w:t>
      </w:r>
      <w:proofErr w:type="spellStart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назви</w:t>
      </w:r>
      <w:proofErr w:type="spellEnd"/>
      <w:r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реферату.</w:t>
      </w:r>
    </w:p>
    <w:p w:rsidR="001A3C2B" w:rsidRPr="001A3C2B" w:rsidRDefault="00DC1341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УКРПАТЕНТ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– база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України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Станом на 01.12.2010 року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всього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зареєстровано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305840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них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100 тис.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винаходи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55 тис.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корисні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створено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пошуковик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БД </w:t>
      </w:r>
      <w:hyperlink r:id="rId8" w:history="1"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'</w:t>
        </w:r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Винаходи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зарубіжних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країн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'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містить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яка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надходить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42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відомств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ізних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держав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регіональних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організацій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3C2B" w:rsidRPr="001A3C2B" w:rsidRDefault="00DC1341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history="1"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РОСПАТЕНТ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Російське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відомство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служба по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інтелектуальній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власності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патентам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товарним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знакам. У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інформаційній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пошуковій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можливий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винаходах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рефератах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російській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ійській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мовах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винаходах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корисних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моделях. Станом на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кінець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2010 р. у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Роспатенту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ічується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близько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млн.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винаходи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корисні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3C2B" w:rsidRPr="001A3C2B" w:rsidRDefault="00DC1341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history="1"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ЕАПВ 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враз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ійське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відомство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більше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локальних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кінець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2010 р.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міститься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більше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35 млн.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локальних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БД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ЕАПВ, ВОІВ,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Європейського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патентного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відомства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патентного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відомства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США,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1924г.), 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також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країн</w:t>
      </w:r>
      <w:proofErr w:type="spellEnd"/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СНД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відомств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країн-членів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ЕАПО. У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реалізовані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засоби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пошуку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зовнішніх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БД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бібліотек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інтелектуальної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власності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(IPDL) та в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інформаційних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системах: ESP@CENET, EPOLINE, JOPAL та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3C2B" w:rsidRPr="001A3C2B" w:rsidRDefault="00DC1341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SIPO 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державне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відомство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інтелектуальної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власності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Китайської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Республіки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вільний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доступ до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китайській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ійській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мовах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починаючи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1985 р. Є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можливість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перекладу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окремих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допомогою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машинного перекладу CPMT.</w:t>
      </w:r>
    </w:p>
    <w:p w:rsidR="001A3C2B" w:rsidRPr="001A3C2B" w:rsidRDefault="00DC1341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history="1"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Patent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Abstracts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of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Japan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(PAJ) 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-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Патентного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відомства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Японії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Пропонує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доступ до БД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Японії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1993 року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ійською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мовою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 в БД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знаходиться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понад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4.7 млн.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документі</w:t>
      </w:r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3C2B" w:rsidRPr="001A3C2B" w:rsidRDefault="00DC1341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3" w:history="1"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WIPO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</w:t>
      </w:r>
      <w:proofErr w:type="spellStart"/>
      <w:r>
        <w:fldChar w:fldCharType="begin"/>
      </w:r>
      <w:r>
        <w:instrText>HYPERLINK "http://www.wipo.int/"</w:instrText>
      </w:r>
      <w:r>
        <w:fldChar w:fldCharType="separate"/>
      </w:r>
      <w:r w:rsidR="001A3C2B" w:rsidRPr="001A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World</w:t>
      </w:r>
      <w:proofErr w:type="spellEnd"/>
      <w:r w:rsidR="001A3C2B" w:rsidRPr="001A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Intellectual</w:t>
      </w:r>
      <w:proofErr w:type="spellEnd"/>
      <w:r w:rsidR="001A3C2B" w:rsidRPr="001A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Property</w:t>
      </w:r>
      <w:proofErr w:type="spellEnd"/>
      <w:r w:rsidR="001A3C2B" w:rsidRPr="001A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Organization</w:t>
      </w:r>
      <w:proofErr w:type="spellEnd"/>
      <w:r>
        <w:fldChar w:fldCharType="end"/>
      </w:r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-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Всесвітня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Організація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Інтелектуальної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Власності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БД WIPO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здійснюється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допомогою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пошукової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PATENTSCOPE®, яка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забезпечує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безкоштовний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доступ до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Міжнародних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 та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національним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регіональним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патентним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документам.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ВОІВ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містить</w:t>
      </w:r>
      <w:proofErr w:type="spellEnd"/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більш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ніж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1.8 млн.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опублікованих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міжнародних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патентах. На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з’явився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пошуковий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інструмент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який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дозволяє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шукати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тільки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колекції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>HYPERLINK "http://www.wipo.int/pctdb/en/"</w:instrText>
      </w:r>
      <w:r>
        <w:fldChar w:fldCharType="separate"/>
      </w:r>
      <w:r w:rsidR="001A3C2B" w:rsidRPr="001A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міжнародних</w:t>
      </w:r>
      <w:proofErr w:type="spellEnd"/>
      <w:r w:rsidR="001A3C2B" w:rsidRPr="001A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патентних</w:t>
      </w:r>
      <w:proofErr w:type="spellEnd"/>
      <w:r w:rsidR="001A3C2B" w:rsidRPr="001A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заявок</w:t>
      </w:r>
      <w:r>
        <w:fldChar w:fldCharType="end"/>
      </w:r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 </w:t>
      </w:r>
      <w:proofErr w:type="spellStart"/>
      <w:r>
        <w:fldChar w:fldCharType="begin"/>
      </w:r>
      <w:r>
        <w:instrText>HYPERLINK "http://www.wipo.int/patentscope/search/en/search.jsf"</w:instrText>
      </w:r>
      <w:r>
        <w:fldChar w:fldCharType="separate"/>
      </w:r>
      <w:r w:rsidR="001A3C2B" w:rsidRPr="001A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патентних</w:t>
      </w:r>
      <w:proofErr w:type="spellEnd"/>
      <w:r w:rsidR="001A3C2B" w:rsidRPr="001A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колекціях</w:t>
      </w:r>
      <w:proofErr w:type="spellEnd"/>
      <w:r w:rsidR="001A3C2B" w:rsidRPr="001A3C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</w:t>
      </w:r>
      <w:proofErr w:type="spellStart"/>
      <w:r>
        <w:fldChar w:fldCharType="end"/>
      </w:r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Африканської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Регіональної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Організації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Інтелектуальної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Власності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(ARIPO),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Аргентини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Бразилії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Куби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Ізраїлю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Марокко, Мексики,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Республіки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Корея,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Сінгапура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Південної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Африки,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Іспан</w:t>
      </w:r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'єтнаму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3C2B" w:rsidRPr="001A3C2B" w:rsidRDefault="00DC1341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4" w:history="1"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Patent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Lens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он-лайн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сервіс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патентного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пошуку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створений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незалежною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некомерційною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організацією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Cambia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Дозволяє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США,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Європи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Австрал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ВОІВ. БД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містить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більше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 млн.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3C2B" w:rsidRPr="001A3C2B" w:rsidRDefault="00DC1341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5" w:history="1"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WikiPatents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безкоштовна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пошукова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налічує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більше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 млн.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Постійно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зростаюча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WikiPatents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США,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Німеччини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Японії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Великобританії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Канади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Франції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Іспанії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Швейцарії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кожний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патент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видає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коротку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присутня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швидка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навігація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зображеннях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патенту,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дозволяє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завантаження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ізних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форматах, таких як TXT, RTF (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PDF.  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Відображає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місце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проживання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винахідника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WikiPatents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також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дозволяє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перекладати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допомогою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ГУГЛ,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коментувати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оцінювати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будь-як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3C2B" w:rsidRPr="001A3C2B" w:rsidRDefault="00DC1341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6" w:history="1"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Surf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IP 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проект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відомства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інтелектуальної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власност</w:t>
      </w:r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інгапура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Дозволяє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вести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базах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Європейського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патентного бюро (EPO), США (USPTO), WIPO, 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Великобританії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(UK-IPO),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Японії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(JPO-IPDL),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Тайвані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(TIPO),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Канади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(CIPO), Китаю (SIPO),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Тайланду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(TIPIC),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(KIPO),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Сінгапура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(IPOS).</w:t>
      </w:r>
    </w:p>
    <w:p w:rsidR="001A3C2B" w:rsidRPr="001A3C2B" w:rsidRDefault="00DC1341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7" w:history="1"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Free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Patents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Online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пошукова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система, яка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забезпечує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швидкий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доступ до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ільйонів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заявок.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найпотужніших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швидких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 патентного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пошуку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Інтернеті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Free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patents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online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дозволяє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здійснювати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БД патентного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відомства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США,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Європейського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патентного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відомства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Всесвітньої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організації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інтелектуальної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власності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Японському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патентному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відомстві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Зареєстрованим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надаєбільш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широкі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можливості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наприклад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сповіщення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надходження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запущено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цікаву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систему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відображення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іту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</w:p>
    <w:p w:rsidR="001A3C2B" w:rsidRDefault="00DC1341" w:rsidP="00846A00">
      <w:pPr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8" w:history="1"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PRIORSMART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-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9" w:history="1"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безкоштовний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ресурс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який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забезпечує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доступ </w:t>
      </w:r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ільше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60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онлайн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Дозволяє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назвою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рефератом,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формулоюі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винаходу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іменем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власника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патенту,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іменем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винахідника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описом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МПК.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Інтерфейс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представлений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іспанською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ійською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французькою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німецькою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російською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японською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китайською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корейською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мовами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3C2B" w:rsidRPr="001A3C2B" w:rsidRDefault="00DC1341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0" w:history="1"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USPTO 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повнотекстова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патентного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відомства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США,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що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ічує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декілька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мільйонів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1976 р.,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зберігаються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текстовому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HTML та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графічному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TIFF.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1790 р. до 1976 р.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зберігаються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тільки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графічному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3C2B" w:rsidRPr="001A3C2B" w:rsidRDefault="00DC1341" w:rsidP="00846A00">
      <w:pPr>
        <w:shd w:val="clear" w:color="auto" w:fill="F9F9F9"/>
        <w:spacing w:after="124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1" w:history="1"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Canadian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Patents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Database</w:t>
        </w:r>
        <w:proofErr w:type="spellEnd"/>
        <w:r w:rsidR="001A3C2B" w:rsidRPr="001A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</w:hyperlink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пошукова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патентної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Канади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призначена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пошуку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канадських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Простий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зручний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пошук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Можливе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відображення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графічних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ілюстрацій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базі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даних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понад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1.9 млн. 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патентів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починаючи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="001A3C2B" w:rsidRPr="001A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1869 року.</w:t>
      </w:r>
    </w:p>
    <w:p w:rsidR="005C5311" w:rsidRDefault="005C5311" w:rsidP="00846A00">
      <w:pPr>
        <w:ind w:left="-567"/>
      </w:pPr>
    </w:p>
    <w:sectPr w:rsidR="005C5311" w:rsidSect="005C5311">
      <w:pgSz w:w="11906" w:h="16838"/>
      <w:pgMar w:top="851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63E5"/>
    <w:multiLevelType w:val="multilevel"/>
    <w:tmpl w:val="34FA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A3C2B"/>
    <w:rsid w:val="00186C56"/>
    <w:rsid w:val="001A3C2B"/>
    <w:rsid w:val="00256DDF"/>
    <w:rsid w:val="0031047F"/>
    <w:rsid w:val="005C5311"/>
    <w:rsid w:val="006B068C"/>
    <w:rsid w:val="007A239A"/>
    <w:rsid w:val="007E2A0E"/>
    <w:rsid w:val="00846A00"/>
    <w:rsid w:val="009A0007"/>
    <w:rsid w:val="00A53AB3"/>
    <w:rsid w:val="00A56E85"/>
    <w:rsid w:val="00DC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3C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3C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1A3C2B"/>
  </w:style>
  <w:style w:type="character" w:customStyle="1" w:styleId="contentvote">
    <w:name w:val="content_vote"/>
    <w:basedOn w:val="a0"/>
    <w:rsid w:val="001A3C2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3C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3C2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1A3C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82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1189760325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1421174263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1705666647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18816519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1951550630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261032288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703095611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1913002609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1575623203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1230262635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75325380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274024104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1048454787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1965185851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312024853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1866362539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1041589832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2110931625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1459370639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268897923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  <w:div w:id="1323775233">
          <w:marLeft w:val="0"/>
          <w:marRight w:val="0"/>
          <w:marTop w:val="37"/>
          <w:marBottom w:val="124"/>
          <w:divBdr>
            <w:top w:val="single" w:sz="4" w:space="2" w:color="D5D5D5"/>
            <w:left w:val="single" w:sz="4" w:space="12" w:color="D5D5D5"/>
            <w:bottom w:val="single" w:sz="4" w:space="2" w:color="D5D5D5"/>
            <w:right w:val="single" w:sz="4" w:space="12" w:color="D5D5D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patent.org/upatentais/" TargetMode="External"/><Relationship Id="rId13" Type="http://schemas.openxmlformats.org/officeDocument/2006/relationships/hyperlink" Target="http://www.wipo.int/" TargetMode="External"/><Relationship Id="rId18" Type="http://schemas.openxmlformats.org/officeDocument/2006/relationships/hyperlink" Target="http://www.priorsmar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tents.ic.gc.ca/opic-cipo/cpd/eng/search/advanced.html" TargetMode="External"/><Relationship Id="rId7" Type="http://schemas.openxmlformats.org/officeDocument/2006/relationships/hyperlink" Target="http://base.ukrpatent.org/searchINV/" TargetMode="External"/><Relationship Id="rId12" Type="http://schemas.openxmlformats.org/officeDocument/2006/relationships/hyperlink" Target="http://www.ipdl.inpit.go.jp/homepg_e.ipdl" TargetMode="External"/><Relationship Id="rId17" Type="http://schemas.openxmlformats.org/officeDocument/2006/relationships/hyperlink" Target="http://www.freepatentsonline.com/searc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rfip.gov.sg/_patent-f.htm" TargetMode="External"/><Relationship Id="rId20" Type="http://schemas.openxmlformats.org/officeDocument/2006/relationships/hyperlink" Target="http://www.uspto.gov/patents/process/search/index.j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p.espacenet.com/" TargetMode="External"/><Relationship Id="rId11" Type="http://schemas.openxmlformats.org/officeDocument/2006/relationships/hyperlink" Target="http://www.sipo.gov.cn/sipo2008/zljs/" TargetMode="External"/><Relationship Id="rId5" Type="http://schemas.openxmlformats.org/officeDocument/2006/relationships/hyperlink" Target="http://www.google.com/patents" TargetMode="External"/><Relationship Id="rId15" Type="http://schemas.openxmlformats.org/officeDocument/2006/relationships/hyperlink" Target="http://www.wikipatent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apatis.com/" TargetMode="External"/><Relationship Id="rId19" Type="http://schemas.openxmlformats.org/officeDocument/2006/relationships/hyperlink" Target="http://isearch.kiev.ua/index.php/uk/news/searchengines/other-searchers/152-priorsmart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fips.ru/wps/wcm/connect/content_ru/ru/inform_resources/inform_retrieval_system/article_5/" TargetMode="External"/><Relationship Id="rId14" Type="http://schemas.openxmlformats.org/officeDocument/2006/relationships/hyperlink" Target="http://www.patentlens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1309</Words>
  <Characters>7463</Characters>
  <Application>Microsoft Office Word</Application>
  <DocSecurity>0</DocSecurity>
  <Lines>62</Lines>
  <Paragraphs>17</Paragraphs>
  <ScaleCrop>false</ScaleCrop>
  <Company>Grizli777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2018-03-21T12:19:00Z</dcterms:created>
  <dcterms:modified xsi:type="dcterms:W3CDTF">2018-03-21T12:28:00Z</dcterms:modified>
</cp:coreProperties>
</file>