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2" w:lineRule="auto"/>
        <w:ind w:left="2558" w:right="125" w:hanging="2422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52" w:lineRule="auto"/>
        <w:ind w:left="2558" w:right="125" w:hanging="2422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Outline of EUBAM Lectures at the Odessa National I.I. Mechnikov University within the EU-Ukraine Integration Course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Friday, 8 April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EUBAM and its mandate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role of EUBAM: overview of EUBAM’s mandate, activities and cooperation with partners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EUBAM’s main achievements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Outcomes: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 the role played by EUBAM for the regional security and economic development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 the way the Mission works with MD and UA Partner Services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Lecturer:</w:t>
      </w:r>
    </w:p>
    <w:p w:rsidR="00000000" w:rsidDel="00000000" w:rsidP="00000000" w:rsidRDefault="00000000" w:rsidRPr="00000000" w14:paraId="00000010">
      <w:pPr>
        <w:widowControl w:val="1"/>
        <w:numPr>
          <w:ilvl w:val="2"/>
          <w:numId w:val="6"/>
        </w:numPr>
        <w:ind w:left="2160" w:hanging="1800"/>
        <w:rPr>
          <w:b w:val="1"/>
          <w:color w:val="1f497d"/>
          <w:sz w:val="24"/>
          <w:szCs w:val="24"/>
        </w:rPr>
      </w:pPr>
      <w:r w:rsidDel="00000000" w:rsidR="00000000" w:rsidRPr="00000000">
        <w:rPr>
          <w:b w:val="1"/>
          <w:color w:val="1f497d"/>
          <w:sz w:val="24"/>
          <w:szCs w:val="24"/>
          <w:rtl w:val="0"/>
        </w:rPr>
        <w:t xml:space="preserve">Lajos Karakas, Head of Planning, Analysis &amp; Coordination Office / DHoM of EUBAM, Hungary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Friday, 15 April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borders: Schengen acquis and Integrated Border Management Concept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Policy: free movement of people within Schengen area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Schengen acquis: simplify border crossing within EU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strengthening it at the external borders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Integrated Border Management Concept and its main components: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 between facilitation of legitimate movement of trade and travellers and controlling borders to prevent cross-border crime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Intra-agency, inter-agency and international cooperation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Risk based border control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Outcomes: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of EU policy regarding free movement of people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the role of Schengen acquis in the evolution of EU border control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 of the role and main pillars of EU Integrated Border Management Concept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Lecturer: Michael Domes, Border Control &amp; Border Management Expert, Germany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Friday, 22 April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EUBAM’s contribution to the confidence building measures between Chisinau and Tiraspol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Approximation of customs and trade related legislation and procedures on both sides of Nistru river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Enhancing cooperation among responsible authorities on the enforcement of customs and trade related legislation and procedures on both sides of Nistru river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Practical solutions for the fully-fledge resumption of passenger and freight across Transnistrian region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Outcomes: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the role played by EUBAM in building confidence between Chisinau and Tiraspol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Lecturer: Agnieszka Wawrzyk, Team Leader / Technical Advisor on Transnistrian Issue, Poland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Friday, 29 April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Modern Customs and its role in facilitation of border crossing for legitimate trade and travellers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trade facilitation from Customs perspective and why it is important for national economy?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facilitation instruments for movement of legitimate trade and travellers across the border: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Single window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One-stop-shop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control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information exchange technologies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Promotion of modern Custom’s practices on the Moldova-Ukraine border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Outcomes: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the EU and international standards for Customs’ facilitation of border crossing for legitimate movement of trade and travellers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 how Customs agency could facilitate trade and economic development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the work of EUBAM for the benefits of legitimate travel and trade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Lecturer: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Jarmo Kemppinen, Customs &amp; Border Management Expert, Finland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120" w:right="360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10" w:orient="portrait"/>
      <w:pgMar w:bottom="280" w:top="2400" w:left="1680" w:right="16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676910</wp:posOffset>
              </wp:positionH>
              <wp:positionV relativeFrom="page">
                <wp:posOffset>457200</wp:posOffset>
              </wp:positionV>
              <wp:extent cx="6524625" cy="107315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3053" y="3243425"/>
                        <a:ext cx="6524625" cy="1073150"/>
                        <a:chOff x="2083053" y="3243425"/>
                        <a:chExt cx="6525260" cy="1073150"/>
                      </a:xfrm>
                    </wpg:grpSpPr>
                    <wpg:grpSp>
                      <wpg:cNvGrpSpPr/>
                      <wpg:grpSpPr>
                        <a:xfrm>
                          <a:off x="2083053" y="3243425"/>
                          <a:ext cx="6525260" cy="1073150"/>
                          <a:chOff x="-635" y="0"/>
                          <a:chExt cx="6525260" cy="107315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52462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-635" y="1066800"/>
                            <a:ext cx="6524625" cy="6350"/>
                          </a:xfrm>
                          <a:custGeom>
                            <a:rect b="b" l="l" r="r" t="t"/>
                            <a:pathLst>
                              <a:path extrusionOk="0" h="6350" w="6524625">
                                <a:moveTo>
                                  <a:pt x="6523990" y="0"/>
                                </a:moveTo>
                                <a:lnTo>
                                  <a:pt x="2203450" y="0"/>
                                </a:lnTo>
                                <a:lnTo>
                                  <a:pt x="2200275" y="0"/>
                                </a:lnTo>
                                <a:lnTo>
                                  <a:pt x="2194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2194560" y="6350"/>
                                </a:lnTo>
                                <a:lnTo>
                                  <a:pt x="2200275" y="6350"/>
                                </a:lnTo>
                                <a:lnTo>
                                  <a:pt x="2203450" y="6350"/>
                                </a:lnTo>
                                <a:lnTo>
                                  <a:pt x="6523990" y="6350"/>
                                </a:lnTo>
                                <a:lnTo>
                                  <a:pt x="6523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676910</wp:posOffset>
              </wp:positionH>
              <wp:positionV relativeFrom="page">
                <wp:posOffset>457200</wp:posOffset>
              </wp:positionV>
              <wp:extent cx="6524625" cy="10731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24625" cy="1073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2931478</wp:posOffset>
              </wp:positionH>
              <wp:positionV relativeFrom="page">
                <wp:posOffset>442913</wp:posOffset>
              </wp:positionV>
              <wp:extent cx="4156075" cy="438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72725" y="3565370"/>
                        <a:ext cx="4146550" cy="429260"/>
                      </a:xfrm>
                      <a:custGeom>
                        <a:rect b="b" l="l" r="r" t="t"/>
                        <a:pathLst>
                          <a:path extrusionOk="0" h="429260" w="4146550">
                            <a:moveTo>
                              <a:pt x="0" y="0"/>
                            </a:moveTo>
                            <a:lnTo>
                              <a:pt x="0" y="429260"/>
                            </a:lnTo>
                            <a:lnTo>
                              <a:pt x="4146550" y="429260"/>
                            </a:lnTo>
                            <a:lnTo>
                              <a:pt x="4146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20" w:right="15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EUROPEAN UNION BORDER ASSISTANCE MISSION TO MOLDOVA AND UKRAINE (EUBAM)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2931478</wp:posOffset>
              </wp:positionH>
              <wp:positionV relativeFrom="page">
                <wp:posOffset>442913</wp:posOffset>
              </wp:positionV>
              <wp:extent cx="4156075" cy="43878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6075" cy="438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191770</wp:posOffset>
          </wp:positionH>
          <wp:positionV relativeFrom="paragraph">
            <wp:posOffset>0</wp:posOffset>
          </wp:positionV>
          <wp:extent cx="1600200" cy="106680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0200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0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" w:lineRule="auto"/>
      <w:ind w:left="20" w:right="15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