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BC" w:rsidRPr="00ED0266" w:rsidRDefault="00B12602" w:rsidP="00ED0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</w:rPr>
        <w:t>Наукові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</w:rPr>
        <w:t>публікації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266" w:rsidRPr="00ED0266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="00ED0266" w:rsidRPr="00ED0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ED0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</w:rPr>
        <w:t>викладачів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</w:rPr>
        <w:t>міжнародних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</w:rPr>
        <w:t>виданнях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</w:rPr>
        <w:t>іноземними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</w:rPr>
        <w:t>мовами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>: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Borysova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Dobrovolska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Olena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Marhasova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Momot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Kozii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Chyzhyshyn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N. Evolution and current state of money circulation in Ukraine and the world.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Estudios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Economia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Aplicada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2021. № 39(5). 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(Scopus)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DOI: </w:t>
      </w:r>
      <w:hyperlink r:id="rId5" w:history="1">
        <w:r w:rsidRPr="00ED02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https://doi.org/10.25115/eea.v39i5.5042</w:t>
        </w:r>
      </w:hyperlink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Borysova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Kolesnikov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</w:rPr>
        <w:t>а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The current state of the system of cashless payments in Ukraine. Section of Economic and Legal Sciences: Collection of abstracts of students, graduate students and applicants - participants of the 77th reporting conference of Odessa National University named I. I.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Mechnikov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(Odessa, April 26-28, 2021).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Odessa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Phoenix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, 2021. Р. 207-209. 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Butenko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Viktoriia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Redka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Yulia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Evolution of cashless calculations in Ukraine. XXIX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D0266">
        <w:rPr>
          <w:rFonts w:ascii="Times New Roman" w:hAnsi="Times New Roman" w:cs="Times New Roman"/>
          <w:sz w:val="28"/>
          <w:szCs w:val="28"/>
        </w:rPr>
        <w:t>практична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«Science, theory and practice» </w:t>
      </w:r>
      <w:proofErr w:type="gramStart"/>
      <w:r w:rsidRPr="00ED0266">
        <w:rPr>
          <w:rFonts w:ascii="Times New Roman" w:hAnsi="Times New Roman" w:cs="Times New Roman"/>
          <w:sz w:val="28"/>
          <w:szCs w:val="28"/>
          <w:lang w:val="en-US"/>
        </w:rPr>
        <w:t>( 08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-11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2021</w:t>
      </w:r>
      <w:r w:rsidRPr="00ED0266">
        <w:rPr>
          <w:rFonts w:ascii="Times New Roman" w:hAnsi="Times New Roman" w:cs="Times New Roman"/>
          <w:sz w:val="28"/>
          <w:szCs w:val="28"/>
        </w:rPr>
        <w:t>р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Токіо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) / editorial board : Elena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Pluznik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Anna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Liubchych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Liudmila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Polyvana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Tokyo, Japan. 2021, Pp. 89-91 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Demianchuk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Bezpartochnyi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Filipishyna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Živitere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M. The model of achieving a balanced balance between economic efficiency and ecological-social responsibility of digitalized enterprise. Journal of Optimization in Industrial Engineering. 2021. Vol. 14, Is. 1. </w:t>
      </w:r>
      <w:proofErr w:type="gramStart"/>
      <w:r w:rsidRPr="00ED0266">
        <w:rPr>
          <w:rFonts w:ascii="Times New Roman" w:hAnsi="Times New Roman" w:cs="Times New Roman"/>
          <w:sz w:val="28"/>
          <w:szCs w:val="28"/>
          <w:lang w:val="en-US"/>
        </w:rPr>
        <w:t>Р. 63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–70. DOI: https://doi.org/10.22094/JOIE.2020.677817 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(Scopus)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Demianchuk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Makhamadali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B.H.,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Kotlubai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Shramko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H. The influence of globalization and integration processes on the activity of insurance organizations. </w:t>
      </w:r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Economics. Ecology. </w:t>
      </w:r>
      <w:proofErr w:type="spellStart"/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Socium</w:t>
      </w:r>
      <w:proofErr w:type="spellEnd"/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2019. Vol. 3. No </w:t>
      </w:r>
      <w:proofErr w:type="gramStart"/>
      <w:r w:rsidRPr="00ED0266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0266">
        <w:rPr>
          <w:rFonts w:ascii="Times New Roman" w:hAnsi="Times New Roman" w:cs="Times New Roman"/>
          <w:sz w:val="28"/>
          <w:szCs w:val="28"/>
        </w:rPr>
        <w:t>Р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53–64. DOI: </w:t>
      </w:r>
      <w:hyperlink r:id="rId6" w:history="1">
        <w:r w:rsidRPr="00ED02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https://doi.org/10.31520/2616-7107/2019.3.3-7</w:t>
        </w:r>
      </w:hyperlink>
      <w:r w:rsidRPr="00ED0266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Demianchuk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D0266">
        <w:rPr>
          <w:rFonts w:ascii="Times New Roman" w:hAnsi="Times New Roman" w:cs="Times New Roman"/>
          <w:b/>
          <w:sz w:val="28"/>
          <w:szCs w:val="28"/>
        </w:rPr>
        <w:t>М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.,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Maslii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Kniazieva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266">
        <w:rPr>
          <w:rFonts w:ascii="Times New Roman" w:hAnsi="Times New Roman" w:cs="Times New Roman"/>
          <w:sz w:val="28"/>
          <w:szCs w:val="28"/>
        </w:rPr>
        <w:t>О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Cloud technologies and artificial intelligence as the basis of digital development of the financial sector of the economy of Ukraine. </w:t>
      </w:r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CEUR Workshop Proceedings: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0266">
        <w:rPr>
          <w:rFonts w:ascii="Times New Roman" w:hAnsi="Times New Roman" w:cs="Times New Roman"/>
          <w:sz w:val="28"/>
          <w:szCs w:val="28"/>
          <w:lang w:val="en-US"/>
        </w:rPr>
        <w:t>2nd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Intellectual systems and information technologies: International Scientific and Practical Conference. Odessa, September 13-19, 2021. Odessa (Ukraine), 2021. </w:t>
      </w:r>
      <w:r w:rsidRPr="00ED0266">
        <w:rPr>
          <w:rFonts w:ascii="Times New Roman" w:hAnsi="Times New Roman" w:cs="Times New Roman"/>
          <w:sz w:val="28"/>
          <w:szCs w:val="28"/>
        </w:rPr>
        <w:t>Р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. 33–39. URL:</w:t>
      </w:r>
      <w:hyperlink r:id="rId7" w:history="1">
        <w:r w:rsidRPr="00ED02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https://www.scopus.com/record/display.uri?eid=2-s2.0-85128951081&amp;origin=resultslist&amp;sort=plf-f&amp;featureToggles=FEATURE_NEW_DOC_DETAILS_EXPORT:1</w:t>
        </w:r>
      </w:hyperlink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>(Scopus)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Demianchuk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D0266">
        <w:rPr>
          <w:rFonts w:ascii="Times New Roman" w:hAnsi="Times New Roman" w:cs="Times New Roman"/>
          <w:b/>
          <w:sz w:val="28"/>
          <w:szCs w:val="28"/>
        </w:rPr>
        <w:t>М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.,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Maslii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Skribans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V. GRP Econometric Models for Regions of Ukraine. </w:t>
      </w:r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E-Business, Management and Economics: 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10th International Conference, July 15–17, 2019, Beijing, China, 2019. </w:t>
      </w:r>
      <w:r w:rsidRPr="00ED0266">
        <w:rPr>
          <w:rFonts w:ascii="Times New Roman" w:hAnsi="Times New Roman" w:cs="Times New Roman"/>
          <w:sz w:val="28"/>
          <w:szCs w:val="28"/>
        </w:rPr>
        <w:t xml:space="preserve">Р. 6–11. DOI: </w:t>
      </w:r>
      <w:hyperlink r:id="rId8" w:history="1">
        <w:r w:rsidRPr="00ED02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https://doi.org/10.1145/3345035.3345056</w:t>
        </w:r>
      </w:hyperlink>
      <w:r w:rsidRPr="00ED0266">
        <w:rPr>
          <w:rFonts w:ascii="Times New Roman" w:hAnsi="Times New Roman" w:cs="Times New Roman"/>
          <w:sz w:val="28"/>
          <w:szCs w:val="28"/>
        </w:rPr>
        <w:t>.</w:t>
      </w:r>
      <w:r w:rsidRPr="00ED02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02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</w:rPr>
        <w:t>Scopus</w:t>
      </w:r>
      <w:proofErr w:type="spellEnd"/>
      <w:r w:rsidRPr="00ED02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</w:rPr>
        <w:t>Web</w:t>
      </w:r>
      <w:proofErr w:type="spellEnd"/>
      <w:r w:rsidRPr="00ED0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ED02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</w:rPr>
        <w:t>Science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>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Demianchuk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ED0266">
        <w:rPr>
          <w:rFonts w:ascii="Times New Roman" w:hAnsi="Times New Roman" w:cs="Times New Roman"/>
          <w:b/>
          <w:sz w:val="28"/>
          <w:szCs w:val="28"/>
        </w:rPr>
        <w:t>М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.,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Skribans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V. Evaluation of sustainable development of enterprises in the digital transformations. </w:t>
      </w:r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Research for Rural Development: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27th Annual International Scientific Conference on Research for Rural Development. 12-14 </w:t>
      </w:r>
      <w:proofErr w:type="gram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May,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2021. Jelgava (Latvia), 2021. Vol. 36. </w:t>
      </w:r>
      <w:r w:rsidRPr="00ED0266">
        <w:rPr>
          <w:rFonts w:ascii="Times New Roman" w:hAnsi="Times New Roman" w:cs="Times New Roman"/>
          <w:sz w:val="28"/>
          <w:szCs w:val="28"/>
        </w:rPr>
        <w:t>Р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. 202–209. DOI:</w:t>
      </w:r>
      <w:hyperlink r:id="rId9" w:history="1">
        <w:r w:rsidRPr="00ED02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 xml:space="preserve"> https://doi.org/10.22616/rrd.27.2021.029</w:t>
        </w:r>
      </w:hyperlink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(Scopus)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lastRenderedPageBreak/>
        <w:t>Koval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V.,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Hrymalyuk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A.,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Atstaja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D.,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Nesenenko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P.,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Kovshun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N.,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Masina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, L.</w:t>
      </w:r>
      <w:r w:rsidRPr="00ED0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Hypothesis of a two-level investment system and the prospects for the planned development of the socialist market economy.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Naukovyi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Visnyk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Natsionalnoho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Hirnychoho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Universytetu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2022, (4), С. 138-144. 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(Scopus)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Kolesnik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Kalnieva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Andrushoi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K.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Green banking and its role in optimization of energy consumption. Conference proceedings of the </w:t>
      </w:r>
      <w:proofErr w:type="gramStart"/>
      <w:r w:rsidRPr="00ED0266">
        <w:rPr>
          <w:rFonts w:ascii="Times New Roman" w:hAnsi="Times New Roman" w:cs="Times New Roman"/>
          <w:sz w:val="28"/>
          <w:szCs w:val="28"/>
          <w:lang w:val="en-US"/>
        </w:rPr>
        <w:t>1st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Student Scientific Conference of Joint Research Cooperation between Odesa I.I.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Mechnikov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 and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Huaiyin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Institute of Technology (March 28-29, May 16, 2022). Dnipro: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Serednyak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TK, 2022. 209p.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Larysa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Sidelnykova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Nina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Ovsiuk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Oksana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Savastieieva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Svitlana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Kozak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Nataliia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Lishchuk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Andrii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Zinchenko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>. Tax Incentives in the System of State Financial Support of Economic Entities. Economic Affairs. 2022. Vol. 67, №04, pp. 653-659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ab/>
        <w:t xml:space="preserve">DOI: 10.46852/0424-2513.4.2022.31 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(Scopus)</w:t>
      </w:r>
    </w:p>
    <w:p w:rsidR="00ED0266" w:rsidRPr="00ED0266" w:rsidRDefault="00205A2B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5A2B">
        <w:rPr>
          <w:rFonts w:ascii="Times New Roman" w:hAnsi="Times New Roman" w:cs="Times New Roman"/>
          <w:sz w:val="28"/>
          <w:szCs w:val="28"/>
          <w:lang w:val="en-US"/>
        </w:rPr>
        <w:t>Andrii</w:t>
      </w:r>
      <w:proofErr w:type="spellEnd"/>
      <w:r w:rsidRPr="00205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A2B">
        <w:rPr>
          <w:rFonts w:ascii="Times New Roman" w:hAnsi="Times New Roman" w:cs="Times New Roman"/>
          <w:sz w:val="28"/>
          <w:szCs w:val="28"/>
          <w:lang w:val="en-US"/>
        </w:rPr>
        <w:t>Makurin</w:t>
      </w:r>
      <w:proofErr w:type="spellEnd"/>
      <w:r w:rsidRPr="00205A2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05A2B">
        <w:rPr>
          <w:rFonts w:ascii="Times New Roman" w:hAnsi="Times New Roman" w:cs="Times New Roman"/>
          <w:sz w:val="28"/>
          <w:szCs w:val="28"/>
          <w:lang w:val="en-US"/>
        </w:rPr>
        <w:t>Andrii</w:t>
      </w:r>
      <w:proofErr w:type="spellEnd"/>
      <w:r w:rsidRPr="00205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A2B">
        <w:rPr>
          <w:rFonts w:ascii="Times New Roman" w:hAnsi="Times New Roman" w:cs="Times New Roman"/>
          <w:sz w:val="28"/>
          <w:szCs w:val="28"/>
          <w:lang w:val="en-US"/>
        </w:rPr>
        <w:t>Maliienko</w:t>
      </w:r>
      <w:proofErr w:type="spellEnd"/>
      <w:r w:rsidRPr="00205A2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05A2B">
        <w:rPr>
          <w:rFonts w:ascii="Times New Roman" w:hAnsi="Times New Roman" w:cs="Times New Roman"/>
          <w:sz w:val="28"/>
          <w:szCs w:val="28"/>
          <w:lang w:val="en-US"/>
        </w:rPr>
        <w:t>Olena</w:t>
      </w:r>
      <w:proofErr w:type="spellEnd"/>
      <w:r w:rsidRPr="00205A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5A2B">
        <w:rPr>
          <w:rFonts w:ascii="Times New Roman" w:hAnsi="Times New Roman" w:cs="Times New Roman"/>
          <w:sz w:val="28"/>
          <w:szCs w:val="28"/>
          <w:lang w:val="en-US"/>
        </w:rPr>
        <w:t>Tryfonova</w:t>
      </w:r>
      <w:proofErr w:type="spellEnd"/>
      <w:r w:rsidRPr="00205A2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05A2B">
        <w:rPr>
          <w:rFonts w:ascii="Times New Roman" w:hAnsi="Times New Roman" w:cs="Times New Roman"/>
          <w:b/>
          <w:sz w:val="28"/>
          <w:szCs w:val="28"/>
          <w:lang w:val="en-US"/>
        </w:rPr>
        <w:t>Lyudmyla</w:t>
      </w:r>
      <w:proofErr w:type="spellEnd"/>
      <w:r w:rsidRPr="00205A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5A2B">
        <w:rPr>
          <w:rFonts w:ascii="Times New Roman" w:hAnsi="Times New Roman" w:cs="Times New Roman"/>
          <w:b/>
          <w:sz w:val="28"/>
          <w:szCs w:val="28"/>
          <w:lang w:val="en-US"/>
        </w:rPr>
        <w:t>Masina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D0266" w:rsidRPr="00ED0266">
        <w:rPr>
          <w:rFonts w:ascii="Times New Roman" w:hAnsi="Times New Roman" w:cs="Times New Roman"/>
          <w:sz w:val="28"/>
          <w:szCs w:val="28"/>
          <w:lang w:val="en-US"/>
        </w:rPr>
        <w:t>Management of Cryptocurrency Transactions from Accounting Aspect</w:t>
      </w:r>
      <w:proofErr w:type="gramStart"/>
      <w:r w:rsidR="00ED0266" w:rsidRPr="00ED0266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="00ED0266"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0266"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Economics. Ecology. </w:t>
      </w:r>
      <w:proofErr w:type="spellStart"/>
      <w:r w:rsidR="00ED0266" w:rsidRPr="00ED0266">
        <w:rPr>
          <w:rFonts w:ascii="Times New Roman" w:hAnsi="Times New Roman" w:cs="Times New Roman"/>
          <w:i/>
          <w:iCs/>
          <w:sz w:val="28"/>
          <w:szCs w:val="28"/>
        </w:rPr>
        <w:t>Socium</w:t>
      </w:r>
      <w:proofErr w:type="spellEnd"/>
      <w:r w:rsidR="00ED0266" w:rsidRPr="00ED026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D0266" w:rsidRPr="00ED0266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="00ED0266" w:rsidRPr="00ED0266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ED0266" w:rsidRPr="00ED0266">
        <w:rPr>
          <w:rFonts w:ascii="Times New Roman" w:hAnsi="Times New Roman" w:cs="Times New Roman"/>
          <w:sz w:val="28"/>
          <w:szCs w:val="28"/>
        </w:rPr>
        <w:t xml:space="preserve"> 7 (3), C. 26-35. </w:t>
      </w:r>
      <w:r w:rsidR="00ED0266" w:rsidRPr="00ED026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ED0266" w:rsidRPr="00ED0266">
        <w:rPr>
          <w:rFonts w:ascii="Times New Roman" w:hAnsi="Times New Roman" w:cs="Times New Roman"/>
          <w:b/>
          <w:bCs/>
          <w:sz w:val="28"/>
          <w:szCs w:val="28"/>
        </w:rPr>
        <w:t>Scopus</w:t>
      </w:r>
      <w:proofErr w:type="spellEnd"/>
      <w:r w:rsidR="00ED0266" w:rsidRPr="00ED026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D0266" w:rsidRPr="00927EB0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Novikova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0266">
        <w:rPr>
          <w:rFonts w:ascii="Times New Roman" w:hAnsi="Times New Roman" w:cs="Times New Roman"/>
          <w:sz w:val="28"/>
          <w:szCs w:val="28"/>
        </w:rPr>
        <w:t>М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Yankovyi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266">
        <w:rPr>
          <w:rFonts w:ascii="Times New Roman" w:hAnsi="Times New Roman" w:cs="Times New Roman"/>
          <w:sz w:val="28"/>
          <w:szCs w:val="28"/>
        </w:rPr>
        <w:t>О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Koval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Lazorenko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Poberezhets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D0266">
        <w:rPr>
          <w:rFonts w:ascii="Times New Roman" w:hAnsi="Times New Roman" w:cs="Times New Roman"/>
          <w:b/>
          <w:sz w:val="28"/>
          <w:szCs w:val="28"/>
        </w:rPr>
        <w:t>О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.,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Gonchar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V. Modeling sustainable economic development using production </w:t>
      </w:r>
      <w:r w:rsidRPr="00927EB0">
        <w:rPr>
          <w:rFonts w:ascii="Times New Roman" w:hAnsi="Times New Roman" w:cs="Times New Roman"/>
          <w:sz w:val="28"/>
          <w:szCs w:val="28"/>
          <w:lang w:val="en-US"/>
        </w:rPr>
        <w:t xml:space="preserve">functions. </w:t>
      </w:r>
      <w:hyperlink r:id="rId10" w:history="1">
        <w:r w:rsidRPr="00927EB0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Studies of Applied Economics</w:t>
        </w:r>
      </w:hyperlink>
      <w:r w:rsidRPr="00927EB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927EB0">
        <w:rPr>
          <w:rFonts w:ascii="Times New Roman" w:hAnsi="Times New Roman" w:cs="Times New Roman"/>
          <w:sz w:val="28"/>
          <w:szCs w:val="28"/>
          <w:lang w:val="en-US"/>
        </w:rPr>
        <w:t>2021.</w:t>
      </w:r>
      <w:r w:rsidRPr="00927EB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27EB0">
        <w:rPr>
          <w:rFonts w:ascii="Times New Roman" w:hAnsi="Times New Roman" w:cs="Times New Roman"/>
          <w:sz w:val="28"/>
          <w:szCs w:val="28"/>
          <w:lang w:val="en-US"/>
        </w:rPr>
        <w:t xml:space="preserve">VOL 39, NO 5 (2021). P. 1-14. </w:t>
      </w:r>
      <w:r w:rsidRPr="00927EB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(Scopus,</w:t>
      </w:r>
      <w:r w:rsidRPr="00927E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927E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https://doi.org/10.25115/eea.v39i5.5090</w:t>
        </w:r>
      </w:hyperlink>
      <w:r w:rsidRPr="00927EB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Oleksandr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Melnychenko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>Tetiana</w:t>
      </w:r>
      <w:proofErr w:type="spellEnd"/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>Osadcha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Anatoliy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Kovalyov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Valerii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Matskul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Consequences of </w:t>
      </w:r>
      <w:proofErr w:type="spellStart"/>
      <w:proofErr w:type="gramStart"/>
      <w:r w:rsidRPr="00ED0266">
        <w:rPr>
          <w:rFonts w:ascii="Times New Roman" w:hAnsi="Times New Roman" w:cs="Times New Roman"/>
          <w:sz w:val="28"/>
          <w:szCs w:val="28"/>
          <w:lang w:val="en-US"/>
        </w:rPr>
        <w:t>russia’s</w:t>
      </w:r>
      <w:proofErr w:type="spellEnd"/>
      <w:proofErr w:type="gram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military invasion of Ukraine for Polish-Ukrainian trade relations. </w:t>
      </w:r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 of International Studies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2022. 15.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>. 131-149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.(Scopus)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Oleksandr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Melnychenko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>Tetiana</w:t>
      </w:r>
      <w:proofErr w:type="spellEnd"/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>Osadcha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Anatoliy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Kovalyov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Valerii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Matskul</w:t>
      </w:r>
      <w:proofErr w:type="spellEnd"/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  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Dependence of Housing Real Estate Prices on Inflation as One of the Most Important Factors: Poland’s Case</w:t>
      </w:r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 Estate Management and Valuation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. Volume 30 (2022), Issue 4 (December 2022). Pp. 25-41. DOI: </w:t>
      </w:r>
      <w:hyperlink r:id="rId12" w:history="1">
        <w:r w:rsidRPr="00ED02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https://doi.org/10.2478/remav-2022-0027</w:t>
        </w:r>
      </w:hyperlink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(Scopus)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Osadchuk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Svetlana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The Reform </w:t>
      </w:r>
      <w:r w:rsidRPr="00ED0266">
        <w:rPr>
          <w:rFonts w:ascii="Times New Roman" w:hAnsi="Times New Roman" w:cs="Times New Roman"/>
          <w:sz w:val="28"/>
          <w:szCs w:val="28"/>
        </w:rPr>
        <w:t>о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f Decentralization in Ukraine: Institutional and Legal Aspects.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Sieci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Uniwersytetów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Pogranicza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T. 5, 2021, s. 129-141 URI: </w:t>
      </w:r>
      <w:hyperlink r:id="rId13" w:history="1">
        <w:r w:rsidRPr="00ED026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http://hdl.handle.net/11320/12360</w:t>
        </w:r>
      </w:hyperlink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Poberezhets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Kovtunenko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Filippova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Kovtunenko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Stepanchenko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A. Adaptation of the logistics system of food industry enterprises in conditions diversification of activities. </w:t>
      </w:r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Journal of Hygienic Engineering and Design.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2019. Vol. 27. P. 108 – 113. </w:t>
      </w:r>
      <w:r w:rsidRPr="00ED02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(Scopus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, UDC 658.86/.87:334.72:663/664)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Savastieieva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Borysova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Zhuravlova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T. </w:t>
      </w:r>
      <w:r w:rsidRPr="00ED0266">
        <w:rPr>
          <w:rFonts w:ascii="Times New Roman" w:hAnsi="Times New Roman" w:cs="Times New Roman"/>
          <w:sz w:val="28"/>
          <w:szCs w:val="28"/>
        </w:rPr>
        <w:t>Т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he treasury servicing process managing of budget execution based on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technology. </w:t>
      </w:r>
      <w:proofErr w:type="spellStart"/>
      <w:r w:rsidRPr="00ED0266">
        <w:rPr>
          <w:rFonts w:ascii="Times New Roman" w:hAnsi="Times New Roman" w:cs="Times New Roman"/>
          <w:i/>
          <w:iCs/>
          <w:sz w:val="28"/>
          <w:szCs w:val="28"/>
        </w:rPr>
        <w:t>Інфраструктура</w:t>
      </w:r>
      <w:proofErr w:type="spellEnd"/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266">
        <w:rPr>
          <w:rFonts w:ascii="Times New Roman" w:hAnsi="Times New Roman" w:cs="Times New Roman"/>
          <w:i/>
          <w:iCs/>
          <w:sz w:val="28"/>
          <w:szCs w:val="28"/>
        </w:rPr>
        <w:t>ринку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2021. № 54. </w:t>
      </w:r>
      <w:r w:rsidRPr="00ED0266">
        <w:rPr>
          <w:rFonts w:ascii="Times New Roman" w:hAnsi="Times New Roman" w:cs="Times New Roman"/>
          <w:sz w:val="28"/>
          <w:szCs w:val="28"/>
        </w:rPr>
        <w:t>С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. 234-240.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Savastieieva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O.N.,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Butenko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V.V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Zhuravlova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T.O.,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Fic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D. Analysis of basic conditions for implementation of decentralization reform in Ukraine and Poland.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Фінансово-кредитна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та практики. 2019.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1. № </w:t>
      </w:r>
      <w:r w:rsidRPr="00ED0266">
        <w:rPr>
          <w:rFonts w:ascii="Times New Roman" w:hAnsi="Times New Roman" w:cs="Times New Roman"/>
          <w:sz w:val="28"/>
          <w:szCs w:val="28"/>
        </w:rPr>
        <w:lastRenderedPageBreak/>
        <w:t xml:space="preserve">29. Т. 2. С. 403-411. </w:t>
      </w: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(Web of Science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), https://doi:https://doi.org/10.18371/fcaptp.v2i29.171976)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Savastieieva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Oksana M.,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Borysova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Larysa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Zhuravlova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Tetyana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Butenko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Victoriia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National health financing systems against the backdrop of a global pandemic: new challenges and prospects. </w:t>
      </w:r>
      <w:proofErr w:type="spellStart"/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Wiadomości</w:t>
      </w:r>
      <w:proofErr w:type="spellEnd"/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i/>
          <w:iCs/>
          <w:sz w:val="28"/>
          <w:szCs w:val="28"/>
          <w:lang w:val="en-US"/>
        </w:rPr>
        <w:t>Lekarskie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2022. Volume LXXV, Issue 5. Part 2. pp.1390-1395 </w:t>
      </w:r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ED02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Scopus</w:t>
      </w:r>
      <w:r w:rsidRPr="00ED0266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DOI: 10.36740/WLek202205228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Svitlana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Nikola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Marharyta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Volkova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Trends in the development of insurance companies in the securities market in Ukraine and in the world.</w:t>
      </w:r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 Економіко-соціальні відносини в галузі фізичної культури та сфері обслуговування : матеріали ІІІ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. (м. Львів, 1–2 квіт. 2021 р). Львів : ЛДУФК ім. Івана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uk-UA"/>
        </w:rPr>
        <w:t>Боберського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uk-UA"/>
        </w:rPr>
        <w:t>, 2021. с.45-47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Volkova</w:t>
      </w:r>
      <w:proofErr w:type="spellEnd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</w:t>
      </w:r>
      <w:r w:rsidRPr="00ED02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proofErr w:type="spellStart"/>
        <w:r w:rsidRPr="00ED026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Borysova</w:t>
        </w:r>
        <w:proofErr w:type="spellEnd"/>
        <w:r w:rsidRPr="00ED026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, L</w:t>
        </w:r>
        <w:r w:rsidRPr="00ED026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Pr="00ED026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Ye.</w:t>
        </w:r>
      </w:hyperlink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266">
        <w:rPr>
          <w:rFonts w:ascii="Times New Roman" w:hAnsi="Times New Roman" w:cs="Times New Roman"/>
          <w:sz w:val="28"/>
          <w:szCs w:val="28"/>
          <w:lang w:val="en-US"/>
        </w:rPr>
        <w:t>Strategic priorities of activating Ukraine’s activities in the global direct investment market in the post-war reconstruction period</w:t>
      </w:r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. Збірник тез доповідей студентів, аспірантів та здобувачів – учасників 79-ї звітної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наук (27-28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2023 р., м. Одеса) /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Побережець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; ред. </w:t>
      </w:r>
      <w:proofErr w:type="gramStart"/>
      <w:r w:rsidRPr="00ED0266">
        <w:rPr>
          <w:rFonts w:ascii="Times New Roman" w:hAnsi="Times New Roman" w:cs="Times New Roman"/>
          <w:sz w:val="28"/>
          <w:szCs w:val="28"/>
        </w:rPr>
        <w:t>кол.:</w:t>
      </w:r>
      <w:proofErr w:type="gramEnd"/>
      <w:r w:rsidRPr="00ED0266">
        <w:rPr>
          <w:rFonts w:ascii="Times New Roman" w:hAnsi="Times New Roman" w:cs="Times New Roman"/>
          <w:sz w:val="28"/>
          <w:szCs w:val="28"/>
        </w:rPr>
        <w:t xml:space="preserve"> А. Л.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Святошнюк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, Т. В. Степанова та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0266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Олді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>+, 2023.</w:t>
      </w:r>
      <w:r w:rsidRPr="00ED0266">
        <w:rPr>
          <w:rFonts w:ascii="Times New Roman" w:hAnsi="Times New Roman" w:cs="Times New Roman"/>
          <w:sz w:val="28"/>
          <w:szCs w:val="28"/>
          <w:lang w:val="uk-UA"/>
        </w:rPr>
        <w:t xml:space="preserve"> с.274-277</w:t>
      </w:r>
    </w:p>
    <w:p w:rsidR="00ED0266" w:rsidRPr="00ED0266" w:rsidRDefault="00ED0266" w:rsidP="00ED026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Yu. </w:t>
      </w:r>
      <w:proofErr w:type="spellStart"/>
      <w:r w:rsidRPr="00ED0266">
        <w:rPr>
          <w:rFonts w:ascii="Times New Roman" w:hAnsi="Times New Roman" w:cs="Times New Roman"/>
          <w:b/>
          <w:sz w:val="28"/>
          <w:szCs w:val="28"/>
          <w:lang w:val="en-US"/>
        </w:rPr>
        <w:t>Dobychina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O.O.Kolesnik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, T. L. </w:t>
      </w:r>
      <w:proofErr w:type="spellStart"/>
      <w:r w:rsidRPr="00ED0266">
        <w:rPr>
          <w:rFonts w:ascii="Times New Roman" w:hAnsi="Times New Roman" w:cs="Times New Roman"/>
          <w:sz w:val="28"/>
          <w:szCs w:val="28"/>
          <w:lang w:val="en-US"/>
        </w:rPr>
        <w:t>Karavayeva</w:t>
      </w:r>
      <w:proofErr w:type="spellEnd"/>
      <w:r w:rsidRPr="00ED0266">
        <w:rPr>
          <w:rFonts w:ascii="Times New Roman" w:hAnsi="Times New Roman" w:cs="Times New Roman"/>
          <w:sz w:val="28"/>
          <w:szCs w:val="28"/>
          <w:lang w:val="en-US"/>
        </w:rPr>
        <w:t xml:space="preserve">. Analysis of the current state of interaction between banking and regional sectors of the Ukrainian economy.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тез доп. студ.,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аспір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учасн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76-ї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нац. ун-ту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І. І. Мечникова.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Секція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 наук (Одеса, 26-28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 xml:space="preserve">. 2021 р.). </w:t>
      </w:r>
      <w:proofErr w:type="gramStart"/>
      <w:r w:rsidRPr="00ED0266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ED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66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ED0266">
        <w:rPr>
          <w:rFonts w:ascii="Times New Roman" w:hAnsi="Times New Roman" w:cs="Times New Roman"/>
          <w:sz w:val="28"/>
          <w:szCs w:val="28"/>
        </w:rPr>
        <w:t>, 2021. С.205-207</w:t>
      </w:r>
    </w:p>
    <w:p w:rsidR="00C039AD" w:rsidRPr="00C039AD" w:rsidRDefault="00C039AD" w:rsidP="00C039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039AD" w:rsidRPr="00C0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634F7"/>
    <w:multiLevelType w:val="hybridMultilevel"/>
    <w:tmpl w:val="6C7E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2"/>
    <w:rsid w:val="00205A2B"/>
    <w:rsid w:val="00246B3A"/>
    <w:rsid w:val="002D3EA3"/>
    <w:rsid w:val="005A4DD7"/>
    <w:rsid w:val="00701FCB"/>
    <w:rsid w:val="00927EB0"/>
    <w:rsid w:val="009C03BC"/>
    <w:rsid w:val="00A52A5D"/>
    <w:rsid w:val="00B12602"/>
    <w:rsid w:val="00C039AD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FDD22-2F16-4C16-86F5-E6B80D1B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6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45/3345035.3345056" TargetMode="External"/><Relationship Id="rId13" Type="http://schemas.openxmlformats.org/officeDocument/2006/relationships/hyperlink" Target="http://hdl.handle.net/11320/12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record/display.uri?eid=2-s2.0-85128951081&amp;origin=resultslist&amp;sort=plf-f&amp;featureToggles=FEATURE_NEW_DOC_DETAILS_EXPORT:1" TargetMode="External"/><Relationship Id="rId12" Type="http://schemas.openxmlformats.org/officeDocument/2006/relationships/hyperlink" Target="https://doi.org/10.2478/remav-2022-00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31520/2616-7107/2019.3.3-7" TargetMode="External"/><Relationship Id="rId11" Type="http://schemas.openxmlformats.org/officeDocument/2006/relationships/hyperlink" Target="https://doi.org/10.25115/eea.v39i5.5090" TargetMode="External"/><Relationship Id="rId5" Type="http://schemas.openxmlformats.org/officeDocument/2006/relationships/hyperlink" Target="https://doi.org/10.25115/eea.v39i5.50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js.ual.es/ojs/index.php/eea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616/rrd.27.2021.029" TargetMode="External"/><Relationship Id="rId14" Type="http://schemas.openxmlformats.org/officeDocument/2006/relationships/hyperlink" Target="http://dspace.onu.edu.ua:8080/browse?type=author&amp;value=Borysova%2C+Larysa+Y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2023-10-22T19:07:00Z</dcterms:created>
  <dcterms:modified xsi:type="dcterms:W3CDTF">2023-10-23T05:26:00Z</dcterms:modified>
</cp:coreProperties>
</file>