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Одеський національний університет імені І. І. Мечникова</w:t>
      </w: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Факультет математики, фізики та інформаційних технологій</w:t>
      </w:r>
      <w:r>
        <w:rPr>
          <w:rFonts w:ascii="Times New Roman" w:eastAsia="Times New Roman" w:hAnsi="Times New Roman" w:cs="Times New Roman"/>
          <w:b/>
          <w:sz w:val="28"/>
        </w:rPr>
        <w:br/>
        <w:t>Кафедра фізики та астрономії</w:t>
      </w:r>
    </w:p>
    <w:p w:rsidR="008E75C0" w:rsidRDefault="008E75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b/>
          <w:color w:val="0033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Силабус курсу </w:t>
      </w:r>
    </w:p>
    <w:p w:rsidR="008E75C0" w:rsidRDefault="008E75C0">
      <w:pPr>
        <w:spacing w:after="0"/>
        <w:jc w:val="center"/>
        <w:rPr>
          <w:rFonts w:ascii="Times New Roman" w:eastAsia="Times New Roman" w:hAnsi="Times New Roman" w:cs="Times New Roman"/>
          <w:b/>
          <w:color w:val="003300"/>
          <w:sz w:val="28"/>
        </w:rPr>
      </w:pP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Фізик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Механіка та молекулярна фізика)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1"/>
        <w:gridCol w:w="6902"/>
      </w:tblGrid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кредитів, 120 год.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Семестр,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 навчання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семестр, 1-й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ік навчання 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Дні,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ісце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Вівторок, 8.00, ауд.16, ауд. 20, Пастера 42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Викладач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(-і)</w:t>
            </w:r>
            <w:proofErr w:type="gramEnd"/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проф. Гоцульський В.Я., доцент Сидоров О.Є.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Контактний телефон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0679217313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-mail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vygot@onu.edu.ua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Робоче місце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Пастера 42, каб.16, Пастера 27 лаб.48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Консультації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Очні консультації: Середа, 13.00-15.00, Пастера 42 каб.16</w:t>
            </w:r>
          </w:p>
        </w:tc>
      </w:tr>
    </w:tbl>
    <w:p w:rsidR="008E75C0" w:rsidRDefault="008E75C0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КОМУНІКАЦІЯ</w:t>
      </w:r>
    </w:p>
    <w:p w:rsidR="008E75C0" w:rsidRDefault="00FF782D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Комунікація зі студентами: E-mail:vygot@onu.edu.ua; viber 0679217313; Telegram 0509599353; телефон, очні зустрічі.</w:t>
      </w:r>
    </w:p>
    <w:p w:rsidR="008E75C0" w:rsidRDefault="008E75C0">
      <w:pPr>
        <w:spacing w:after="0"/>
        <w:ind w:firstLine="708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АНОТАЦІЯ  КУРСУ</w:t>
      </w:r>
    </w:p>
    <w:p w:rsidR="008E75C0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Предметом вивчення </w:t>
      </w:r>
      <w:r>
        <w:rPr>
          <w:rFonts w:ascii="Times New Roman" w:eastAsia="Times New Roman" w:hAnsi="Times New Roman" w:cs="Times New Roman"/>
          <w:sz w:val="28"/>
        </w:rPr>
        <w:t xml:space="preserve">є закони та явища механіки та молекулярної фізики. Їхнє вивчення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 час лекційних і лабораторних занять дасть змогу опанувати багато інших важливих курсів за спеціальністю автоматазація та комп’ютерно інтегровані технології, сформувати необхідні навики в </w:t>
      </w:r>
      <w:r>
        <w:rPr>
          <w:rFonts w:ascii="Times New Roman" w:eastAsia="Times New Roman" w:hAnsi="Times New Roman" w:cs="Times New Roman"/>
          <w:sz w:val="28"/>
        </w:rPr>
        <w:t xml:space="preserve">подальшій практичній роботі. </w:t>
      </w:r>
    </w:p>
    <w:p w:rsidR="008E75C0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Знання курсу «Фізика (Механіка та молекулярна фізика) закладає основи для подальшого вивчення дисциплін «Електрика», «Оптика», «Технологічні вимірювання та прилади», «Теорія електричних кіл та схемотехніка»,  «Теорія автоматич</w:t>
      </w:r>
      <w:r>
        <w:rPr>
          <w:rFonts w:ascii="Times New Roman" w:eastAsia="Times New Roman" w:hAnsi="Times New Roman" w:cs="Times New Roman"/>
          <w:sz w:val="28"/>
        </w:rPr>
        <w:t>ного керування», «Системи автоматизованого проектування систем  автоматизації» та циклу спеціальних дисциплін за вибором студента.</w:t>
      </w:r>
      <w:proofErr w:type="gramEnd"/>
    </w:p>
    <w:p w:rsidR="008E75C0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Метою курсу </w:t>
      </w:r>
      <w:r>
        <w:rPr>
          <w:rFonts w:ascii="Times New Roman" w:eastAsia="Times New Roman" w:hAnsi="Times New Roman" w:cs="Times New Roman"/>
          <w:sz w:val="28"/>
        </w:rPr>
        <w:t xml:space="preserve">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ідготовка фахівців, здатних розв’язувати спеціалізовані складні задачі і практичні проблеми, пов’язані з </w:t>
      </w:r>
      <w:r>
        <w:rPr>
          <w:rFonts w:ascii="Times New Roman" w:eastAsia="Times New Roman" w:hAnsi="Times New Roman" w:cs="Times New Roman"/>
          <w:color w:val="000000"/>
          <w:sz w:val="28"/>
        </w:rPr>
        <w:t>дослідженням об’єктів, процесів та явищ у професійній діяльності або у процесі подальшого навчання, що характеризуються комплексністю і невизначеністю умов та передбачають застосування певних теорій і методів фізики (Механіки та молекулярної фізики).</w:t>
      </w:r>
    </w:p>
    <w:p w:rsidR="008E75C0" w:rsidRDefault="00FF782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авданням дисципліни є</w:t>
      </w:r>
      <w:r>
        <w:rPr>
          <w:rFonts w:ascii="Times New Roman" w:eastAsia="Times New Roman" w:hAnsi="Times New Roman" w:cs="Times New Roman"/>
          <w:sz w:val="28"/>
        </w:rPr>
        <w:t xml:space="preserve"> ознайомлення студента  з загальними фізичними явищами, методами їх спостереження, принципами та законами фізики, фізичними та математичними моделями, методиками експериментального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ідження та вимірювання фізичних величин, з основам</w:t>
      </w:r>
      <w:r>
        <w:rPr>
          <w:rFonts w:ascii="Times New Roman" w:eastAsia="Times New Roman" w:hAnsi="Times New Roman" w:cs="Times New Roman"/>
          <w:sz w:val="28"/>
        </w:rPr>
        <w:t xml:space="preserve">и опрацювання експериментальних даних; формування у студентів навички та вміння використовувати фізичну та математичну наукову термінологію,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>ідомо відтворювати відомі фізичні моделі та ідеї; розвиок вміння самостійно вирішувати поставленні задачі, предст</w:t>
      </w:r>
      <w:r>
        <w:rPr>
          <w:rFonts w:ascii="Times New Roman" w:eastAsia="Times New Roman" w:hAnsi="Times New Roman" w:cs="Times New Roman"/>
          <w:sz w:val="28"/>
        </w:rPr>
        <w:t xml:space="preserve">авляти результати в якісній та кількісній мірі, аналізувати отримані результати; формування у студента чітке уявлення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межі застосування фізичних моделей та гіпотез; розвиток у студентів допитливість та інтерес до знання явищ природи; навчання студнтів </w:t>
      </w:r>
      <w:r>
        <w:rPr>
          <w:rFonts w:ascii="Times New Roman" w:eastAsia="Times New Roman" w:hAnsi="Times New Roman" w:cs="Times New Roman"/>
          <w:sz w:val="28"/>
        </w:rPr>
        <w:t>використовувати отримані знання  для застосування їх на практиці.</w:t>
      </w:r>
    </w:p>
    <w:p w:rsidR="008E75C0" w:rsidRDefault="00FF7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Результати навчання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забезпечують можливості: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Знати, розуміти та вміти застосовувати основні положення загальної фізики, зокрема, механіки та молекулярної фізики, для встановлення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аналізу, тлумачення, пояснення й класифікації суті та механізмів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ізноманітних фізичних явищ і процесів для розв’язування складних спеціалізованих задач та практичних фахових проблем.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Знати і розуміти експериментальні основи фізики: аналізувати, опис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увати, тлумачити та пояснювати основні експериментальні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ідтвердження існуючих фізичних теорій.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Мати базові навички самостійного навчання: вміти відшуковувати потрібну інформацію в друкованих та електронних джерелах, аналізувати, систематизувати, роз</w:t>
      </w:r>
      <w:r>
        <w:rPr>
          <w:rFonts w:ascii="Times New Roman" w:eastAsia="Times New Roman" w:hAnsi="Times New Roman" w:cs="Times New Roman"/>
          <w:color w:val="000000"/>
          <w:sz w:val="28"/>
        </w:rPr>
        <w:t>уміти, тлумачити та використовувати її для вирішення наукових і прикладних завдань.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Розуміти значення фізичних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іджень для забезпечення сталого розвитку суспільства. </w:t>
      </w:r>
    </w:p>
    <w:p w:rsidR="008E75C0" w:rsidRDefault="008E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 КУРСУ</w:t>
      </w:r>
    </w:p>
    <w:p w:rsidR="008E75C0" w:rsidRDefault="00FF782D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Форми і методи навчання</w:t>
      </w:r>
    </w:p>
    <w:p w:rsidR="008E75C0" w:rsidRDefault="00FF78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 буде викладений у формі лекцій (30 год.) та лабораторних занять (30 год.), організації самостійної роботи студентів  (60 год.). </w:t>
      </w:r>
    </w:p>
    <w:p w:rsidR="008E75C0" w:rsidRDefault="00FF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 час викладання дисципліни використовуються </w:t>
      </w:r>
      <w:r>
        <w:rPr>
          <w:rFonts w:ascii="Times New Roman" w:eastAsia="Times New Roman" w:hAnsi="Times New Roman" w:cs="Times New Roman"/>
          <w:color w:val="000000"/>
          <w:sz w:val="28"/>
        </w:rPr>
        <w:t>словесні методи навчання, наочні методи навчання. Головним словесним методо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навчання є лекція.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 час проведення лекцій використовуються наступні методи навчання: пояснювально-ілюстративний метод,  або  інформаційно-рецептивний;  репродуктивний метод (репродукція - відтворення); метод проблемного викладу; частково-пошуковий, аб</w:t>
      </w:r>
      <w:r>
        <w:rPr>
          <w:rFonts w:ascii="Times New Roman" w:eastAsia="Times New Roman" w:hAnsi="Times New Roman" w:cs="Times New Roman"/>
          <w:color w:val="000000"/>
          <w:sz w:val="28"/>
        </w:rPr>
        <w:t>о евристичний метод.</w:t>
      </w:r>
    </w:p>
    <w:p w:rsidR="008E75C0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ід час лабораторних занять використовуються наступні методи навчання: частково-пошуковий, або евристичний метод; дослідницький, при захисті лабораторних робіт та індивідуальних завдань використовується дискусійний метод. </w:t>
      </w:r>
    </w:p>
    <w:p w:rsidR="008E75C0" w:rsidRDefault="00FF782D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навчальної дисципліни </w:t>
      </w:r>
    </w:p>
    <w:p w:rsidR="008E75C0" w:rsidRDefault="00FF782D">
      <w:pPr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lastRenderedPageBreak/>
        <w:t>Змістовний молуль 1</w:t>
      </w:r>
    </w:p>
    <w:p w:rsidR="008E75C0" w:rsidRDefault="00FF782D">
      <w:pPr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1. Вступ. </w:t>
      </w:r>
      <w:r>
        <w:rPr>
          <w:rFonts w:ascii="Times New Roman" w:eastAsia="Times New Roman" w:hAnsi="Times New Roman" w:cs="Times New Roman"/>
          <w:position w:val="-1"/>
          <w:sz w:val="28"/>
        </w:rPr>
        <w:t>Матерія як об’єктивна реальність. Прості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та час. Рух як форма існування матерії. Предмет фізики, суть фізичних законів.  Положення фізики серед інших природознавчих наук. Роль фізики у розвитку науково - технічного прогресу. Методи фізичного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ідження.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Математичний апарат фізики. Абстракції та моделі. Роль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іду, практики та теорії в формуванні наукового знання. Принципи у фізичних побудовах. Фізичні величини та їх вимірювання. Системи одиниць  вимірювання.</w:t>
      </w:r>
    </w:p>
    <w:p w:rsidR="008E75C0" w:rsidRDefault="00FF782D">
      <w:pPr>
        <w:tabs>
          <w:tab w:val="left" w:pos="7371"/>
          <w:tab w:val="left" w:pos="8505"/>
        </w:tabs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2. Кінематика 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8"/>
        </w:rPr>
        <w:t>іальної точки та твер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дого тіла. </w:t>
      </w:r>
      <w:r>
        <w:rPr>
          <w:rFonts w:ascii="Times New Roman" w:eastAsia="Times New Roman" w:hAnsi="Times New Roman" w:cs="Times New Roman"/>
          <w:position w:val="-1"/>
          <w:sz w:val="28"/>
        </w:rPr>
        <w:t>Прості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- часові  системи відліку та системи координат.  Місцеположення, переміщення, швидкість та прискорення  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іальної точки.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Траєктор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ія та шлях. Прямолінійний рух. Графічні залежності кінематичних характеристик руху. Криволінійний рух. К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утові швидкість та прискорення. Кривизна та радіус кривизни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траєктор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ії. Тангенціальне та нормальне прискорення.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Прям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 та зворотні  задачі в кінематиці.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3 Динаміка руху 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іальної точки та твердого тіла.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Принцип збереження стану руху та перший закон </w:t>
      </w:r>
      <w:r>
        <w:rPr>
          <w:rFonts w:ascii="Times New Roman" w:eastAsia="Times New Roman" w:hAnsi="Times New Roman" w:cs="Times New Roman"/>
          <w:position w:val="-1"/>
          <w:sz w:val="28"/>
        </w:rPr>
        <w:t>Ньютона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ерціальні системи.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ізновиди взаємодії. Сили в природі. Зразки сил. Сили пружності. Сили тертя. Використання законів Гука та Кулона-Амонтона.  Принцип суперпозиції сил.  Причино-наслідковій зв’язок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між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силою та прискоренням. Другий  закон Ньютон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пульс та маса. Властивості  маси. Задачі руху тіл в полі сил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.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. </w:t>
      </w:r>
      <w:proofErr w:type="gramEnd"/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4. Задачі руху в неінерціальних системах відліку.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Кінематичні перетворення переміщень, швидкостей та прискорень  в неінерціальних системах відліку. Відцентрове  прискорення. Теорема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Коріоліса. Сили інерції. Вага тіла.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іологічне відчуття ваги. Невагомість таперевантаження. Маятник Фуко. Задачі руху ті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ла на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поверхні Землі. Закон Бера. Принцип еквівалентності маси. Принцип Даламбера.</w:t>
      </w:r>
    </w:p>
    <w:p w:rsidR="008E75C0" w:rsidRDefault="00FF782D">
      <w:pPr>
        <w:suppressAutoHyphens/>
        <w:spacing w:after="0" w:line="240" w:lineRule="auto"/>
        <w:ind w:left="1" w:hanging="3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5. Енергія та робота. Закони збереження. </w:t>
      </w:r>
      <w:r>
        <w:rPr>
          <w:rFonts w:ascii="Times New Roman" w:eastAsia="Times New Roman" w:hAnsi="Times New Roman" w:cs="Times New Roman"/>
          <w:position w:val="-1"/>
          <w:sz w:val="28"/>
        </w:rPr>
        <w:t>Поняття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 роботи сили та потужності. Енергія та її види. Робота та змі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кінетичної енергії.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Теорема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Кьоніга. Робота та зміна потенціальної енергії. Потенціальна енергія, її  нормування. Екранізуючий ефект гравітаційної оболонки. Потенціальне поле кулі. Закон збере</w:t>
      </w:r>
      <w:r>
        <w:rPr>
          <w:rFonts w:ascii="Times New Roman" w:eastAsia="Times New Roman" w:hAnsi="Times New Roman" w:cs="Times New Roman"/>
          <w:position w:val="-1"/>
          <w:sz w:val="28"/>
        </w:rPr>
        <w:t>ження механічної енергії. Взаємне перетворення потенціальної та кінетичної енергій. Консервативні сили та зв’язок сили зі зміною потенціальної  енергії. Критерій консервативності системи. Зразки дисипативних систем. Задача руху тіл в потенціальних полях. 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унельний ефект. Види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івноваги. Задача «ньютонівського яблука».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6. Механіка 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ідин та газів.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Загальні властивості рідин та газів. Закон Паскаля. Сила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імеда. Умови плавання тіл. Основні поняття гідродинаміки.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івняння нерозривності. Рівняння Бернуллі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. Стаціонарний рух рідини в трубах. Трубки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іто та визначення потоку рідини.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В’язка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течія. Формула Ньютона. Потік в’язкої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ідини. Формула Пуазейля. Ламінарні та турбулентні потоки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ідини.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Змістовний модуль 2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Тема 1. Предмет і методи молекулярної фізики.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lastRenderedPageBreak/>
        <w:t>Пр</w:t>
      </w:r>
      <w:r>
        <w:rPr>
          <w:rFonts w:ascii="Times New Roman" w:eastAsia="Times New Roman" w:hAnsi="Times New Roman" w:cs="Times New Roman"/>
          <w:position w:val="-1"/>
          <w:sz w:val="28"/>
        </w:rPr>
        <w:t>едмет молекулярної фізики. Попередні відомості про агрегатний стан речовини і області їх існування. Молекулярні сили. Зв’язок властивостей речовини з атомно-молекулярною структурою. Необхідність статистичного опису системи, що складається з величезного чис</w:t>
      </w:r>
      <w:r>
        <w:rPr>
          <w:rFonts w:ascii="Times New Roman" w:eastAsia="Times New Roman" w:hAnsi="Times New Roman" w:cs="Times New Roman"/>
          <w:position w:val="-1"/>
          <w:sz w:val="28"/>
        </w:rPr>
        <w:t>ла частинок. Спі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вв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ідношення статистичних і динамічних характеристик. Ідеальний газ як модель найпростішої статистичної системи. Вираз тиску газу через середню кінетичну енергію. Основне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івняння кінетичної теорії газів. Рівняння Менделєєва-Клапейрона. Зако</w:t>
      </w:r>
      <w:r>
        <w:rPr>
          <w:rFonts w:ascii="Times New Roman" w:eastAsia="Times New Roman" w:hAnsi="Times New Roman" w:cs="Times New Roman"/>
          <w:position w:val="-1"/>
          <w:sz w:val="28"/>
        </w:rPr>
        <w:t>н Дальтона. Поняття парціального тиску.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8"/>
        </w:rPr>
        <w:t>. Основні поняття теорії ймовірності. Статистичний розподіл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>Визначення ймовірності. Додавання ймовірностей. Множення ймовірностей. Статистична незалежність подій. Комбінаторне визначення ймовірності. Густина ймо</w:t>
      </w:r>
      <w:r>
        <w:rPr>
          <w:rFonts w:ascii="Times New Roman" w:eastAsia="Times New Roman" w:hAnsi="Times New Roman" w:cs="Times New Roman"/>
          <w:position w:val="-1"/>
          <w:sz w:val="28"/>
        </w:rPr>
        <w:t>вірності. Середнє за часом і середнє за ансамблем та їх обчислення. Поняття середніх значень. Вираз середні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через ймовірності можливих значень величин. Максвеллівський розподіл молекул за швидкостями. Характерні швидкості розподілу Максвелла. Експеримента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льне визначення середніх швидкостей молекул. Розподіл газу у полі потенційних сил - розподіл Больцмана. Барометрична формула. Зв’язок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між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розподілами Максвелла і Больцмана. Розподіл Гіббса. Межі використання розподілів.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іди Перрена.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Тема 3. Основні хар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актеристики і закономірності 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8"/>
        </w:rPr>
        <w:t>молекулярного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 руху</w:t>
      </w:r>
      <w:r>
        <w:rPr>
          <w:rFonts w:ascii="Times New Roman" w:eastAsia="Times New Roman" w:hAnsi="Times New Roman" w:cs="Times New Roman"/>
          <w:position w:val="-1"/>
          <w:sz w:val="28"/>
        </w:rPr>
        <w:t>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position w:val="-1"/>
          <w:sz w:val="28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іткнення молекул. Середня швидкість, середня частота зіткнень, середня довжина вільного пробігу. Процеси переносу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газах. Елементарна теорія явищ переносу. Вираз коефіцієнтів дифузії, теплопровідності й в’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язкості через величини, що характеризують молекулярний рух. Зв’язок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між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коефіцієнтами. Самодифузія та взаємодифузія. Термодифузія. Фізичні явища в ультрарозріджених газах. Теплоперенос при малих тисках. Посудини Дьюара. 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Тема 4. Основи термодинаміки.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Метод термодинаміки і його порівняння зі статистичним методом. Термодинамічна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івновага.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ізновиди процесів. Внутрішня енергія. Робота. Кількість теплоти. Функції стану та процесу. Перший закон термодинаміки. Оборотні та необоротні процеси.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івноважні та н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е рівноважні процеси. Цикли. Цикл Карно і його ККД. Аналіз можливості перетворення тепла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роботу. Теореми Карно. Другий закон термодинаміки. Термодинамічна шкала температур.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Тема 5.</w:t>
      </w:r>
      <w:r>
        <w:rPr>
          <w:rFonts w:ascii="Times New Roman" w:eastAsia="Times New Roman" w:hAnsi="Times New Roman" w:cs="Times New Roman"/>
          <w:i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>Фазові переходи.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Фазові перетворення у чистих речовинах та сумішах. Фазові перетворення першого і другого роду.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івняння Клапейрона-Клаузіуса. Плавлення та кристалізація. Переохолоджена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ідина. Випаровування твердих тіл. Поняття фази та правило фаз Гіббса. 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Кристалічні та </w:t>
      </w:r>
      <w:r>
        <w:rPr>
          <w:rFonts w:ascii="Times New Roman" w:eastAsia="Times New Roman" w:hAnsi="Times New Roman" w:cs="Times New Roman"/>
          <w:position w:val="-1"/>
          <w:sz w:val="28"/>
        </w:rPr>
        <w:t>аморфні стани речовини. Мон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 і полікристали. Елементи симетрії кристалів. </w:t>
      </w:r>
    </w:p>
    <w:p w:rsidR="008E75C0" w:rsidRDefault="00FF782D">
      <w:pPr>
        <w:suppressAutoHyphens/>
        <w:spacing w:after="0" w:line="240" w:lineRule="auto"/>
        <w:ind w:left="1" w:hanging="3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Поняття про будову і властивості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ідких кристалів. Області застосування.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Тема 6. Особливості 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8"/>
        </w:rPr>
        <w:t>ідкого стану.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lastRenderedPageBreak/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ідкого стану. Моделі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ідини. Ближній і дальній порядок.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Молекулярна взаємодія і тепловий рух. В’язкість. Явища, що обумовлені наявністю вільної поверхні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ідини. Умови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івноваги на межі двох рідин і на межі рідина і тверде тіло. Змочування. Тиск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 скривленою поверхнею рідини. Формула Лапласа. Капілярні явища. </w:t>
      </w:r>
      <w:r>
        <w:rPr>
          <w:rFonts w:ascii="Times New Roman" w:eastAsia="Times New Roman" w:hAnsi="Times New Roman" w:cs="Times New Roman"/>
          <w:position w:val="-1"/>
          <w:sz w:val="28"/>
        </w:rPr>
        <w:t>Флотація.</w:t>
      </w:r>
    </w:p>
    <w:p w:rsidR="008E75C0" w:rsidRDefault="00FF782D">
      <w:pPr>
        <w:suppressAutoHyphens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ідкі розчини. Розчинність газів,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 xml:space="preserve">ідин і твердих тіл в рідинах. Ад- та абсорбція. Пружність насиченої пари над розчинами. Суміш </w:t>
      </w:r>
      <w:proofErr w:type="gramStart"/>
      <w:r>
        <w:rPr>
          <w:rFonts w:ascii="Times New Roman" w:eastAsia="Times New Roman" w:hAnsi="Times New Roman" w:cs="Times New Roman"/>
          <w:position w:val="-1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</w:rPr>
        <w:t>ідин і їх кипіння. Ебуліоскопія. Кріоскопія. Осмотичні явища. Закони Рауля.</w:t>
      </w:r>
    </w:p>
    <w:p w:rsidR="008E75C0" w:rsidRDefault="008E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75C0" w:rsidRDefault="00FF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Рекомендована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ітература</w:t>
      </w:r>
    </w:p>
    <w:p w:rsidR="008E75C0" w:rsidRDefault="00FF782D">
      <w:pPr>
        <w:suppressAutoHyphens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</w:rPr>
        <w:t>Основна</w:t>
      </w:r>
    </w:p>
    <w:p w:rsidR="008E75C0" w:rsidRDefault="00FF7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Козицький С.В., Поліщук Д.Д. Механіка: курс загальної фізики у 6 т. за заг. редакцією В.А.Сминтини. Одеса: Астропринт,  2011.-472с.</w:t>
      </w:r>
    </w:p>
    <w:p w:rsidR="008E75C0" w:rsidRDefault="00FF7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Петренко Л.Г. Фізичні основи механіки. Харків: видавництво Харківського  університету, 2019.204с</w:t>
      </w:r>
    </w:p>
    <w:p w:rsidR="008E75C0" w:rsidRDefault="00FF7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Булгаков В.М., Яременко В.В</w:t>
      </w:r>
      <w:r>
        <w:rPr>
          <w:rFonts w:ascii="Times New Roman" w:eastAsia="Times New Roman" w:hAnsi="Times New Roman" w:cs="Times New Roman"/>
          <w:sz w:val="28"/>
        </w:rPr>
        <w:t>., Черниш О.М., Березовий М.Г. Київ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ЦУЛ, 2018. 612с.</w:t>
      </w:r>
    </w:p>
    <w:p w:rsidR="008E75C0" w:rsidRDefault="00FF7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Кушні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Р.М. Загальна фізика. Механіка. Молекулярна фізика. Львів: видавничий центр ЛНУ ім. Івана Франка, 2003.404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E75C0" w:rsidRDefault="00FF7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Копійка К.М., Поліщук Д.Д. Збірник задач з механіки. Одеса: Астропринт,  2001, 100с.</w:t>
      </w:r>
    </w:p>
    <w:p w:rsidR="008E75C0" w:rsidRDefault="008E75C0">
      <w:pP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position w:val="-1"/>
          <w:sz w:val="24"/>
        </w:rPr>
      </w:pPr>
    </w:p>
    <w:p w:rsidR="008E75C0" w:rsidRDefault="00FF782D">
      <w:pPr>
        <w:suppressAutoHyphens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Додаткова література</w:t>
      </w:r>
    </w:p>
    <w:p w:rsidR="008E75C0" w:rsidRDefault="00FF78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Гоцульський В.Я., Поліщук Д.Д., Копійка К.М. Механіка. Одеса: Астропринт, 2020, 179с.</w:t>
      </w:r>
    </w:p>
    <w:p w:rsidR="008E75C0" w:rsidRDefault="00FF78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Кучерук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М., Горбачук І.Т., Луцик П.П. Курс загальної фізики, том 1, Механіка. Молекулярна фізика і термодинаміка: навч.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</w:rPr>
        <w:t>іб. Київ: Техніка, 2006. 532 с.</w:t>
      </w:r>
    </w:p>
    <w:p w:rsidR="008E75C0" w:rsidRDefault="00FF78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К.М. Копійка, Д.Д. Поліщук, Збірник задач з фізики, Навчальний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ібник за рекомендацією МОНУ(Лист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2/36 від 11.01.2001р.), Одеса, Астропрінт, 2001.</w:t>
      </w:r>
    </w:p>
    <w:p w:rsidR="008E75C0" w:rsidRDefault="00FF78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І.І.Адаменко, Д.А.Гаврюшенко, В.М.Сисоев. Статистична термодинаміка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ідин. Ч. І. Основні положення статистичної термодинаміки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ідких систем. Київ РВЦ «Київський університет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1998</w:t>
      </w:r>
    </w:p>
    <w:p w:rsidR="008E75C0" w:rsidRDefault="00FF78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Л.А. Булавін, В.М. Сисоєв. Фізика фазових переходів. Київ: ВПЦ Київський університет, 2010.</w:t>
      </w:r>
    </w:p>
    <w:p w:rsidR="008E75C0" w:rsidRDefault="008E75C0">
      <w:pPr>
        <w:suppressAutoHyphens/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</w:rPr>
      </w:pPr>
    </w:p>
    <w:p w:rsidR="008E75C0" w:rsidRDefault="00FF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Електронні інформаційні ресурси</w:t>
      </w:r>
    </w:p>
    <w:p w:rsidR="008E75C0" w:rsidRDefault="00FF782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28"/>
            <w:u w:val="single"/>
          </w:rPr>
          <w:t>http://dspace.onu.edu.ua/</w:t>
        </w:r>
      </w:hyperlink>
    </w:p>
    <w:p w:rsidR="008E75C0" w:rsidRDefault="00FF782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phys.onu.edu.ua</w:t>
      </w:r>
    </w:p>
    <w:p w:rsidR="008E75C0" w:rsidRPr="00FF782D" w:rsidRDefault="00FF782D" w:rsidP="00FF78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</w:rPr>
      </w:pP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Wolfram Demonstrations Project FLUID MECHANICS: </w:t>
      </w:r>
    </w:p>
    <w:p w:rsidR="008E75C0" w:rsidRDefault="00FF78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</w:rPr>
      </w:pPr>
      <w:r w:rsidRPr="00FF782D">
        <w:rPr>
          <w:rFonts w:ascii="Times New Roman" w:eastAsia="Times New Roman" w:hAnsi="Times New Roman" w:cs="Times New Roman"/>
          <w:sz w:val="28"/>
        </w:rPr>
        <w:t>Wolfram Demonstrations Project THERMODYNAMICS:</w:t>
      </w:r>
    </w:p>
    <w:p w:rsidR="008E75C0" w:rsidRPr="00FF782D" w:rsidRDefault="008E75C0">
      <w:pPr>
        <w:spacing w:after="0"/>
        <w:jc w:val="both"/>
        <w:rPr>
          <w:rFonts w:ascii="Times New Roman" w:eastAsia="Times New Roman" w:hAnsi="Times New Roman" w:cs="Times New Roman"/>
          <w:b/>
          <w:color w:val="000080"/>
          <w:sz w:val="28"/>
          <w:lang w:val="en-US"/>
        </w:rPr>
      </w:pPr>
    </w:p>
    <w:p w:rsidR="008E75C0" w:rsidRPr="00FF782D" w:rsidRDefault="00FF7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ОЦІНЮВАННЯ</w:t>
      </w:r>
    </w:p>
    <w:p w:rsidR="008E75C0" w:rsidRPr="00FF782D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Навчальна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дисципліна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Фізика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Механіка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і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молекулярна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фізика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оцінюється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100-</w:t>
      </w:r>
      <w:r>
        <w:rPr>
          <w:rFonts w:ascii="Times New Roman" w:eastAsia="Times New Roman" w:hAnsi="Times New Roman" w:cs="Times New Roman"/>
          <w:sz w:val="28"/>
        </w:rPr>
        <w:t>бальною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шкалою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8E75C0" w:rsidRPr="00FF782D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Методи</w:t>
      </w:r>
      <w:r w:rsidRPr="00FF782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поточного</w:t>
      </w:r>
      <w:proofErr w:type="gramEnd"/>
      <w:r w:rsidRPr="00FF782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контролю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Поточний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здійснюється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результатами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виконання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двох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контрольних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робіт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тематикою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змістовних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модулів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Оцінюється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також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активність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студента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процесі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занять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усне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опитування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написання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захист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звіті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лаборат</w:t>
      </w:r>
      <w:r>
        <w:rPr>
          <w:rFonts w:ascii="Times New Roman" w:eastAsia="Times New Roman" w:hAnsi="Times New Roman" w:cs="Times New Roman"/>
          <w:color w:val="000000"/>
          <w:sz w:val="28"/>
        </w:rPr>
        <w:t>орних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робіт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8E75C0" w:rsidRPr="00FF782D" w:rsidRDefault="00FF7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Форми</w:t>
      </w:r>
      <w:r w:rsidRPr="00FF782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і</w:t>
      </w:r>
      <w:r w:rsidRPr="00FF782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методи</w:t>
      </w:r>
      <w:r w:rsidRPr="00FF782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ідсумкового</w:t>
      </w:r>
      <w:r w:rsidRPr="00FF782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контролю</w:t>
      </w:r>
      <w:r w:rsidRPr="00FF782D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ідсумковий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семестровий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</w:rPr>
        <w:t>іспит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ідсумковий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семестровий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іспит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проводиться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усній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формі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Екзаменаційний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білет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містить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чотири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теоретичних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питання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кожне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яких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оцінюється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окремо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8"/>
        </w:rPr>
        <w:t>бальною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шкалою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Критерії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оцінювання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теоретичного</w:t>
      </w:r>
      <w:r w:rsidRPr="00FF782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тання: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 повна розгорнута відповідь – 10 балі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 повна, але не розгорнута відповідь – 8 балі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 повна, але не розгорнута відповідь, яка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містить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незначну помилку чи суперечність – 6 балів, за кожну наступну незначну помилку чи суперечність знімається 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бал;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 неповна відповідь, яка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містить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критичних помилок чи суперечностей – 5 балів, за кожну наступну незначну помилку чи суперечність знімається 1 бал;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 відповідь, що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містить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критичну помилку чи неточність, або відсутність відповіді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оцінюється в 0 </w:t>
      </w:r>
      <w:r>
        <w:rPr>
          <w:rFonts w:ascii="Times New Roman" w:eastAsia="Times New Roman" w:hAnsi="Times New Roman" w:cs="Times New Roman"/>
          <w:color w:val="000000"/>
          <w:sz w:val="28"/>
        </w:rPr>
        <w:t>балі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Кількість балів, що здобувач отримав на іспиті, є сумою балів, що були отримані за кожне завдання з екзаменаційного білету.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Кінцева оцінка виставляється за сумою балів поточного 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ідсумкового контролю</w:t>
      </w:r>
    </w:p>
    <w:p w:rsidR="008E75C0" w:rsidRDefault="00FF782D">
      <w:pPr>
        <w:ind w:hanging="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Загальна схема нарахування балі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35"/>
        <w:gridCol w:w="1655"/>
        <w:gridCol w:w="918"/>
        <w:gridCol w:w="919"/>
        <w:gridCol w:w="1332"/>
        <w:gridCol w:w="1857"/>
        <w:gridCol w:w="847"/>
      </w:tblGrid>
      <w:tr w:rsidR="008E75C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поточного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контролю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Екзаменаційна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>робота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>
            <w:pPr>
              <w:ind w:hanging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5C0" w:rsidRDefault="008E75C0">
            <w:pPr>
              <w:ind w:hanging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5C0" w:rsidRDefault="00FF782D">
            <w:pPr>
              <w:ind w:hanging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Сума</w:t>
            </w:r>
          </w:p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Лабораторні роботи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Лекції*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Разом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/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Поточний контроль (усний)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Звіти за лабораторні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КР_1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КР_2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8E75C0"/>
        </w:tc>
      </w:tr>
      <w:tr w:rsidR="008E75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C0" w:rsidRDefault="00FF782D">
            <w:pPr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8E75C0" w:rsidRDefault="00FF78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контрольні роботи.</w:t>
      </w:r>
    </w:p>
    <w:p w:rsidR="008E75C0" w:rsidRDefault="008E7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75C0" w:rsidRDefault="00FF78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Самостійна робота студентів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Формами самостійної роботи студентів є: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ідготовка теоретичного матеріалу (лекцій), підготовка до виконання лабораторних робіт та складення звітів про роботи. Метою самостійної роботи студента є забезпечення твердих знань теоретичного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іалу, здобуття п</w:t>
      </w:r>
      <w:r>
        <w:rPr>
          <w:rFonts w:ascii="Times New Roman" w:eastAsia="Times New Roman" w:hAnsi="Times New Roman" w:cs="Times New Roman"/>
          <w:color w:val="000000"/>
          <w:sz w:val="28"/>
        </w:rPr>
        <w:t>рактичних навичок при складені звітів до лабораторних робіт.</w:t>
      </w:r>
    </w:p>
    <w:p w:rsidR="008E75C0" w:rsidRDefault="00FF7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Результати виконання самостійної роботи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ідготовкою теоретичного матеріалу оцінюються за якістю виконання поточних контрольних робіт. Результати підготовки до лабораторних робіт оцінюютьс</w:t>
      </w:r>
      <w:r>
        <w:rPr>
          <w:rFonts w:ascii="Times New Roman" w:eastAsia="Times New Roman" w:hAnsi="Times New Roman" w:cs="Times New Roman"/>
          <w:color w:val="000000"/>
          <w:sz w:val="28"/>
        </w:rPr>
        <w:t>я шляхом усного опитування студентів та за якістю представлених звітів про виконані роботи.</w:t>
      </w:r>
    </w:p>
    <w:p w:rsidR="008E75C0" w:rsidRDefault="00FF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Строки здачі/виконання завдань самостійної роботи визначаються викладачем.</w:t>
      </w:r>
    </w:p>
    <w:p w:rsidR="008E75C0" w:rsidRDefault="00FF78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ПОЛІТИКА  КУРСУ  </w:t>
      </w:r>
    </w:p>
    <w:p w:rsidR="008E75C0" w:rsidRDefault="00FF78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Визначається нормативними документами: Положеннями, які є чинними в ОНУ імен</w:t>
      </w:r>
      <w:proofErr w:type="gramStart"/>
      <w:r>
        <w:rPr>
          <w:rFonts w:ascii="Times New Roman" w:eastAsia="Times New Roman" w:hAnsi="Times New Roman" w:cs="Times New Roman"/>
          <w:sz w:val="28"/>
        </w:rPr>
        <w:t>і І.І.</w:t>
      </w:r>
      <w:proofErr w:type="gramEnd"/>
      <w:r>
        <w:rPr>
          <w:rFonts w:ascii="Times New Roman" w:eastAsia="Times New Roman" w:hAnsi="Times New Roman" w:cs="Times New Roman"/>
          <w:sz w:val="28"/>
        </w:rPr>
        <w:t>Мечникова</w:t>
      </w:r>
      <w:r>
        <w:rPr>
          <w:rFonts w:ascii="Calibri" w:eastAsia="Calibri" w:hAnsi="Calibri" w:cs="Calibri"/>
        </w:rPr>
        <w:t xml:space="preserve"> 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https://onu.edu.ua/uk/geninfo/official-documents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8E75C0" w:rsidRDefault="00FF78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Дедлайн виконання завдань з курсу визнач</w:t>
      </w:r>
      <w:r>
        <w:rPr>
          <w:rFonts w:ascii="Times New Roman" w:eastAsia="Times New Roman" w:hAnsi="Times New Roman" w:cs="Times New Roman"/>
          <w:sz w:val="28"/>
        </w:rPr>
        <w:t xml:space="preserve">ає викладач. В разі поважних причин, перенесення терміну виконання завдань </w:t>
      </w:r>
      <w:proofErr w:type="gramStart"/>
      <w:r>
        <w:rPr>
          <w:rFonts w:ascii="Times New Roman" w:eastAsia="Times New Roman" w:hAnsi="Times New Roman" w:cs="Times New Roman"/>
          <w:sz w:val="28"/>
        </w:rPr>
        <w:t>дозволяється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викладачем. Перескладання заборгованостей – з дозволу деканату. </w:t>
      </w:r>
    </w:p>
    <w:p w:rsidR="008E75C0" w:rsidRDefault="00FF78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Кожен студент повинен пам’ятати про академічну доброчесність що забезпечується самостійним виконан</w:t>
      </w:r>
      <w:r>
        <w:rPr>
          <w:rFonts w:ascii="Times New Roman" w:eastAsia="Times New Roman" w:hAnsi="Times New Roman" w:cs="Times New Roman"/>
          <w:sz w:val="28"/>
        </w:rPr>
        <w:t xml:space="preserve">ням навчальних завдань, завдань поточного та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</w:t>
      </w:r>
      <w:r>
        <w:rPr>
          <w:rFonts w:ascii="Times New Roman" w:eastAsia="Times New Roman" w:hAnsi="Times New Roman" w:cs="Times New Roman"/>
          <w:sz w:val="28"/>
        </w:rPr>
        <w:t xml:space="preserve"> власної наукової діяльності.</w:t>
      </w:r>
    </w:p>
    <w:p w:rsidR="008E75C0" w:rsidRDefault="00FF78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</w:t>
      </w:r>
      <w:proofErr w:type="gramStart"/>
      <w:r>
        <w:rPr>
          <w:rFonts w:ascii="Times New Roman" w:eastAsia="Times New Roman" w:hAnsi="Times New Roman" w:cs="Times New Roman"/>
          <w:sz w:val="28"/>
        </w:rPr>
        <w:t>і І.І.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Мечникова.    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https://onu.edu.ua/pub/bank/userfiles/files/documents/acad-dobrochesnost.pdf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8E75C0" w:rsidRDefault="00FF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Відвідування занять для студента 2-го курсу є обов’язковим, як і своєчасний прихід на заняття. Мобільні пристрої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 час навчання повинні бути заблоковані</w:t>
      </w:r>
    </w:p>
    <w:p w:rsidR="008E75C0" w:rsidRDefault="008E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8E75C0" w:rsidRDefault="008E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8E75C0" w:rsidRDefault="008E75C0">
      <w:pPr>
        <w:rPr>
          <w:rFonts w:ascii="Calibri" w:eastAsia="Calibri" w:hAnsi="Calibri" w:cs="Calibri"/>
        </w:rPr>
      </w:pPr>
    </w:p>
    <w:sectPr w:rsidR="008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0DC"/>
    <w:multiLevelType w:val="multilevel"/>
    <w:tmpl w:val="AC48B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66167"/>
    <w:multiLevelType w:val="multilevel"/>
    <w:tmpl w:val="21288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F231B"/>
    <w:multiLevelType w:val="multilevel"/>
    <w:tmpl w:val="EB248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8E75C0"/>
    <w:rsid w:val="008E75C0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u.edu.ua/pub/bank/userfiles/files/documents/acad-dobrochesno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u.edu.ua/uk/geninfo/official-documents" TargetMode="External"/><Relationship Id="rId5" Type="http://schemas.openxmlformats.org/officeDocument/2006/relationships/hyperlink" Target="http://dspace.onu.edu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2317</Words>
  <Characters>13212</Characters>
  <Application>Microsoft Office Word</Application>
  <DocSecurity>0</DocSecurity>
  <Lines>110</Lines>
  <Paragraphs>30</Paragraphs>
  <ScaleCrop>false</ScaleCrop>
  <Company>Grizli777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2023-05-11T13:32:00Z</dcterms:created>
  <dcterms:modified xsi:type="dcterms:W3CDTF">2023-05-11T13:35:00Z</dcterms:modified>
</cp:coreProperties>
</file>